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53" w:rsidRPr="003E3455" w:rsidRDefault="003E3455" w:rsidP="001C72AC">
      <w:pPr>
        <w:spacing w:after="0" w:line="240" w:lineRule="auto"/>
        <w:jc w:val="center"/>
        <w:rPr>
          <w:b/>
          <w:sz w:val="24"/>
          <w:szCs w:val="24"/>
          <w:u w:val="single"/>
        </w:rPr>
      </w:pPr>
      <w:r w:rsidRPr="003E3455">
        <w:rPr>
          <w:b/>
          <w:noProof/>
          <w:sz w:val="24"/>
          <w:szCs w:val="24"/>
          <w:u w:val="single"/>
          <w:lang w:eastAsia="en-GB"/>
        </w:rPr>
        <w:drawing>
          <wp:anchor distT="0" distB="0" distL="114300" distR="114300" simplePos="0" relativeHeight="251658240" behindDoc="0" locked="0" layoutInCell="1" allowOverlap="1" wp14:anchorId="68AFE9E0" wp14:editId="3FAC1F0D">
            <wp:simplePos x="0" y="0"/>
            <wp:positionH relativeFrom="column">
              <wp:posOffset>-246380</wp:posOffset>
            </wp:positionH>
            <wp:positionV relativeFrom="paragraph">
              <wp:posOffset>-335280</wp:posOffset>
            </wp:positionV>
            <wp:extent cx="596900" cy="685800"/>
            <wp:effectExtent l="0" t="0" r="0" b="0"/>
            <wp:wrapNone/>
            <wp:docPr id="1" name="Picture 1"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2AC" w:rsidRPr="003E3455">
        <w:rPr>
          <w:b/>
          <w:sz w:val="24"/>
          <w:szCs w:val="24"/>
          <w:u w:val="single"/>
        </w:rPr>
        <w:t>PARK GROVE PRIMARY SCHOOOL</w:t>
      </w:r>
    </w:p>
    <w:p w:rsidR="001C72AC" w:rsidRPr="003E3455" w:rsidRDefault="001C72AC" w:rsidP="001C72AC">
      <w:pPr>
        <w:spacing w:after="0" w:line="240" w:lineRule="auto"/>
        <w:jc w:val="center"/>
        <w:rPr>
          <w:b/>
          <w:sz w:val="24"/>
          <w:szCs w:val="24"/>
          <w:u w:val="single"/>
        </w:rPr>
      </w:pPr>
      <w:r w:rsidRPr="003E3455">
        <w:rPr>
          <w:b/>
          <w:sz w:val="24"/>
          <w:szCs w:val="24"/>
          <w:u w:val="single"/>
        </w:rPr>
        <w:t>Information for Parents</w:t>
      </w:r>
    </w:p>
    <w:p w:rsidR="001C72AC" w:rsidRPr="003E3455" w:rsidRDefault="00165F26" w:rsidP="001C72AC">
      <w:pPr>
        <w:spacing w:after="0" w:line="240" w:lineRule="auto"/>
        <w:jc w:val="center"/>
        <w:rPr>
          <w:b/>
          <w:sz w:val="24"/>
          <w:szCs w:val="24"/>
          <w:u w:val="single"/>
        </w:rPr>
      </w:pPr>
      <w:r>
        <w:rPr>
          <w:b/>
          <w:sz w:val="24"/>
          <w:szCs w:val="24"/>
          <w:u w:val="single"/>
        </w:rPr>
        <w:t>Results – July 2016</w:t>
      </w:r>
    </w:p>
    <w:p w:rsidR="001C72AC" w:rsidRDefault="001C72AC" w:rsidP="001C72AC">
      <w:pPr>
        <w:spacing w:after="0" w:line="240" w:lineRule="auto"/>
        <w:jc w:val="center"/>
        <w:rPr>
          <w:b/>
          <w:sz w:val="24"/>
          <w:szCs w:val="24"/>
        </w:rPr>
      </w:pPr>
    </w:p>
    <w:p w:rsidR="001C72AC" w:rsidRPr="009576C2" w:rsidRDefault="001C72AC" w:rsidP="001C72AC">
      <w:pPr>
        <w:spacing w:after="0" w:line="240" w:lineRule="auto"/>
        <w:jc w:val="both"/>
        <w:rPr>
          <w:b/>
          <w:sz w:val="24"/>
          <w:szCs w:val="24"/>
          <w:u w:val="single"/>
        </w:rPr>
      </w:pPr>
      <w:r w:rsidRPr="009576C2">
        <w:rPr>
          <w:b/>
          <w:sz w:val="24"/>
          <w:szCs w:val="24"/>
          <w:u w:val="single"/>
        </w:rPr>
        <w:t>Early Years Foundation Stage (EYFS)</w:t>
      </w:r>
    </w:p>
    <w:p w:rsidR="001C72AC" w:rsidRDefault="001C72AC" w:rsidP="001C72AC">
      <w:pPr>
        <w:spacing w:after="0" w:line="240" w:lineRule="auto"/>
        <w:jc w:val="both"/>
        <w:rPr>
          <w:sz w:val="24"/>
          <w:szCs w:val="24"/>
          <w:u w:val="single"/>
        </w:rPr>
      </w:pPr>
    </w:p>
    <w:p w:rsidR="001C72AC" w:rsidRPr="003C6273" w:rsidRDefault="001C72AC" w:rsidP="001C72AC">
      <w:pPr>
        <w:spacing w:after="0" w:line="240" w:lineRule="auto"/>
        <w:jc w:val="both"/>
        <w:rPr>
          <w:color w:val="FF0000"/>
          <w:sz w:val="24"/>
          <w:szCs w:val="24"/>
        </w:rPr>
      </w:pPr>
      <w:r>
        <w:rPr>
          <w:sz w:val="24"/>
          <w:szCs w:val="24"/>
        </w:rPr>
        <w:t>When children enter school in Reception at Park Grove Primary</w:t>
      </w:r>
      <w:r w:rsidR="00F74CF6">
        <w:rPr>
          <w:sz w:val="24"/>
          <w:szCs w:val="24"/>
        </w:rPr>
        <w:t xml:space="preserve"> School</w:t>
      </w:r>
      <w:r>
        <w:rPr>
          <w:sz w:val="24"/>
          <w:szCs w:val="24"/>
        </w:rPr>
        <w:t xml:space="preserve">, they are assessed against different criteria.  This forms what is known as the ‘Baseline’ </w:t>
      </w:r>
      <w:r w:rsidR="00D854BD">
        <w:rPr>
          <w:sz w:val="24"/>
          <w:szCs w:val="24"/>
        </w:rPr>
        <w:t xml:space="preserve">assessment </w:t>
      </w:r>
      <w:r>
        <w:rPr>
          <w:sz w:val="24"/>
          <w:szCs w:val="24"/>
        </w:rPr>
        <w:t>result.  As the year progresses, the teachers c</w:t>
      </w:r>
      <w:r w:rsidR="00D854BD">
        <w:rPr>
          <w:sz w:val="24"/>
          <w:szCs w:val="24"/>
        </w:rPr>
        <w:t xml:space="preserve">ontinuously assess </w:t>
      </w:r>
      <w:r>
        <w:rPr>
          <w:sz w:val="24"/>
          <w:szCs w:val="24"/>
        </w:rPr>
        <w:t xml:space="preserve">to see what </w:t>
      </w:r>
      <w:r w:rsidR="003E3455">
        <w:rPr>
          <w:sz w:val="24"/>
          <w:szCs w:val="24"/>
        </w:rPr>
        <w:t>each child</w:t>
      </w:r>
      <w:r>
        <w:rPr>
          <w:sz w:val="24"/>
          <w:szCs w:val="24"/>
        </w:rPr>
        <w:t xml:space="preserve"> can do.  At the end of </w:t>
      </w:r>
      <w:r w:rsidRPr="00D476A1">
        <w:rPr>
          <w:sz w:val="24"/>
          <w:szCs w:val="24"/>
        </w:rPr>
        <w:t xml:space="preserve">the </w:t>
      </w:r>
      <w:r w:rsidR="00D476A1">
        <w:rPr>
          <w:sz w:val="24"/>
          <w:szCs w:val="24"/>
        </w:rPr>
        <w:t>R</w:t>
      </w:r>
      <w:r w:rsidR="003C6273" w:rsidRPr="00D476A1">
        <w:rPr>
          <w:sz w:val="24"/>
          <w:szCs w:val="24"/>
        </w:rPr>
        <w:t xml:space="preserve">eception </w:t>
      </w:r>
      <w:r w:rsidRPr="00D476A1">
        <w:rPr>
          <w:sz w:val="24"/>
          <w:szCs w:val="24"/>
        </w:rPr>
        <w:t>year</w:t>
      </w:r>
      <w:r w:rsidR="003E3455" w:rsidRPr="00D476A1">
        <w:rPr>
          <w:sz w:val="24"/>
          <w:szCs w:val="24"/>
        </w:rPr>
        <w:t>,</w:t>
      </w:r>
      <w:r w:rsidRPr="00D476A1">
        <w:rPr>
          <w:sz w:val="24"/>
          <w:szCs w:val="24"/>
        </w:rPr>
        <w:t xml:space="preserve"> the children are assessed again to see if they have met the expected criteria set out in the EYFS framework.</w:t>
      </w:r>
      <w:r w:rsidR="003C6273" w:rsidRPr="00D476A1">
        <w:rPr>
          <w:sz w:val="24"/>
          <w:szCs w:val="24"/>
        </w:rPr>
        <w:t xml:space="preserve"> This is a statutory assessment and is called the EYFS Profile.</w:t>
      </w:r>
    </w:p>
    <w:p w:rsidR="001C72AC" w:rsidRDefault="001C72AC" w:rsidP="001C72AC">
      <w:pPr>
        <w:spacing w:after="0" w:line="240" w:lineRule="auto"/>
        <w:jc w:val="both"/>
        <w:rPr>
          <w:sz w:val="24"/>
          <w:szCs w:val="24"/>
        </w:rPr>
      </w:pPr>
    </w:p>
    <w:p w:rsidR="001C72AC" w:rsidRPr="00D476A1" w:rsidRDefault="001C72AC" w:rsidP="001C72AC">
      <w:pPr>
        <w:spacing w:after="0" w:line="240" w:lineRule="auto"/>
        <w:jc w:val="both"/>
        <w:rPr>
          <w:color w:val="FF0000"/>
          <w:sz w:val="24"/>
          <w:szCs w:val="24"/>
        </w:rPr>
      </w:pPr>
      <w:r w:rsidRPr="00D476A1">
        <w:rPr>
          <w:sz w:val="24"/>
          <w:szCs w:val="24"/>
        </w:rPr>
        <w:t>Each area of learning has an expected level that the children should reach</w:t>
      </w:r>
      <w:r w:rsidR="003E3455" w:rsidRPr="00D476A1">
        <w:rPr>
          <w:sz w:val="24"/>
          <w:szCs w:val="24"/>
        </w:rPr>
        <w:t>,</w:t>
      </w:r>
      <w:r w:rsidRPr="00D476A1">
        <w:rPr>
          <w:sz w:val="24"/>
          <w:szCs w:val="24"/>
        </w:rPr>
        <w:t xml:space="preserve"> which is known as an Early Learning Goal (ELG). </w:t>
      </w:r>
      <w:r w:rsidR="00D476A1" w:rsidRPr="00D476A1">
        <w:rPr>
          <w:sz w:val="24"/>
          <w:szCs w:val="24"/>
        </w:rPr>
        <w:t>A</w:t>
      </w:r>
      <w:r w:rsidR="00F74CF6">
        <w:rPr>
          <w:sz w:val="24"/>
          <w:szCs w:val="24"/>
        </w:rPr>
        <w:t xml:space="preserve"> child who</w:t>
      </w:r>
      <w:r w:rsidR="00D476A1">
        <w:rPr>
          <w:sz w:val="24"/>
          <w:szCs w:val="24"/>
        </w:rPr>
        <w:t xml:space="preserve"> achieves</w:t>
      </w:r>
      <w:r w:rsidR="00D476A1" w:rsidRPr="00D476A1">
        <w:rPr>
          <w:sz w:val="24"/>
          <w:szCs w:val="24"/>
        </w:rPr>
        <w:t xml:space="preserve"> the expected Early Learning Goal for Making Relationships, Self-confidence and self-awareness, Managing Feelings &amp; Behaviour, Listening and Attention, Understanding, Speaking, Moving &amp; Handling, Health &amp; Self Care, Writing, Reading, Number, Shape, Space &amp; Measure will be assessed as achieving </w:t>
      </w:r>
      <w:r w:rsidR="001A059A" w:rsidRPr="0001537F">
        <w:rPr>
          <w:sz w:val="24"/>
          <w:szCs w:val="24"/>
        </w:rPr>
        <w:t>a</w:t>
      </w:r>
      <w:r w:rsidR="001A059A" w:rsidRPr="001A059A">
        <w:rPr>
          <w:color w:val="FF0000"/>
          <w:sz w:val="24"/>
          <w:szCs w:val="24"/>
        </w:rPr>
        <w:t xml:space="preserve"> </w:t>
      </w:r>
      <w:r w:rsidR="00D476A1" w:rsidRPr="00D476A1">
        <w:rPr>
          <w:sz w:val="24"/>
          <w:szCs w:val="24"/>
        </w:rPr>
        <w:t xml:space="preserve">GLD (Good Level of Development) by the end of the year. </w:t>
      </w:r>
      <w:r w:rsidRPr="00D476A1">
        <w:rPr>
          <w:sz w:val="24"/>
          <w:szCs w:val="24"/>
        </w:rPr>
        <w:t xml:space="preserve">Schools </w:t>
      </w:r>
      <w:r>
        <w:rPr>
          <w:sz w:val="24"/>
          <w:szCs w:val="24"/>
        </w:rPr>
        <w:t>aim to ensure that as many children as possible reach a Good Level of Develo</w:t>
      </w:r>
      <w:r w:rsidR="003E3455">
        <w:rPr>
          <w:sz w:val="24"/>
          <w:szCs w:val="24"/>
        </w:rPr>
        <w:t>pment.  However, if children do not</w:t>
      </w:r>
      <w:r>
        <w:rPr>
          <w:sz w:val="24"/>
          <w:szCs w:val="24"/>
        </w:rPr>
        <w:t xml:space="preserve"> achieve GLD it does not mean they have not made progress, it simply means that they </w:t>
      </w:r>
      <w:r w:rsidR="003E3455">
        <w:rPr>
          <w:sz w:val="24"/>
          <w:szCs w:val="24"/>
        </w:rPr>
        <w:t xml:space="preserve">have not quite achieved the goal </w:t>
      </w:r>
      <w:r>
        <w:rPr>
          <w:sz w:val="24"/>
          <w:szCs w:val="24"/>
        </w:rPr>
        <w:t xml:space="preserve">in one </w:t>
      </w:r>
      <w:r w:rsidR="000B488D">
        <w:rPr>
          <w:sz w:val="24"/>
          <w:szCs w:val="24"/>
        </w:rPr>
        <w:t xml:space="preserve">or more aspects </w:t>
      </w:r>
      <w:r>
        <w:rPr>
          <w:sz w:val="24"/>
          <w:szCs w:val="24"/>
        </w:rPr>
        <w:t>of learning.</w:t>
      </w:r>
    </w:p>
    <w:p w:rsidR="001C72AC" w:rsidRDefault="001C72AC" w:rsidP="001C72AC">
      <w:pPr>
        <w:spacing w:after="0" w:line="240" w:lineRule="auto"/>
        <w:jc w:val="both"/>
        <w:rPr>
          <w:sz w:val="24"/>
          <w:szCs w:val="24"/>
        </w:rPr>
      </w:pPr>
    </w:p>
    <w:p w:rsidR="001C72AC" w:rsidRDefault="001C72AC" w:rsidP="001C72AC">
      <w:pPr>
        <w:spacing w:after="0" w:line="240" w:lineRule="auto"/>
        <w:jc w:val="both"/>
        <w:rPr>
          <w:sz w:val="24"/>
          <w:szCs w:val="24"/>
        </w:rPr>
      </w:pPr>
      <w:r>
        <w:rPr>
          <w:sz w:val="24"/>
          <w:szCs w:val="24"/>
        </w:rPr>
        <w:t xml:space="preserve">It is important to break down </w:t>
      </w:r>
      <w:r w:rsidR="003E3455">
        <w:rPr>
          <w:sz w:val="24"/>
          <w:szCs w:val="24"/>
        </w:rPr>
        <w:t xml:space="preserve">the </w:t>
      </w:r>
      <w:r>
        <w:rPr>
          <w:sz w:val="24"/>
          <w:szCs w:val="24"/>
        </w:rPr>
        <w:t>Early Learning Goals to look at the whole picture.  Where a child is at ‘Expected’ this means that they have achieved the goal.  ‘Emerging’ means that the child is still working to ac</w:t>
      </w:r>
      <w:r w:rsidR="00CF14C9">
        <w:rPr>
          <w:sz w:val="24"/>
          <w:szCs w:val="24"/>
        </w:rPr>
        <w:t>hieve the goal.  Some children ‘E</w:t>
      </w:r>
      <w:r>
        <w:rPr>
          <w:sz w:val="24"/>
          <w:szCs w:val="24"/>
        </w:rPr>
        <w:t>xceed</w:t>
      </w:r>
      <w:r w:rsidR="00CF14C9">
        <w:rPr>
          <w:sz w:val="24"/>
          <w:szCs w:val="24"/>
        </w:rPr>
        <w:t>’</w:t>
      </w:r>
      <w:r>
        <w:rPr>
          <w:sz w:val="24"/>
          <w:szCs w:val="24"/>
        </w:rPr>
        <w:t xml:space="preserve"> the Early Learning Goal which means that they are working above what is </w:t>
      </w:r>
      <w:r w:rsidRPr="00D476A1">
        <w:rPr>
          <w:sz w:val="24"/>
          <w:szCs w:val="24"/>
        </w:rPr>
        <w:t>expected</w:t>
      </w:r>
      <w:r w:rsidR="00C01944" w:rsidRPr="00D476A1">
        <w:rPr>
          <w:sz w:val="24"/>
          <w:szCs w:val="24"/>
        </w:rPr>
        <w:t xml:space="preserve"> or</w:t>
      </w:r>
      <w:r w:rsidR="0088549A">
        <w:rPr>
          <w:sz w:val="24"/>
          <w:szCs w:val="24"/>
        </w:rPr>
        <w:t xml:space="preserve"> ‘</w:t>
      </w:r>
      <w:r w:rsidR="00C01944" w:rsidRPr="00D476A1">
        <w:rPr>
          <w:sz w:val="24"/>
          <w:szCs w:val="24"/>
        </w:rPr>
        <w:t>typical</w:t>
      </w:r>
      <w:r w:rsidR="0088549A">
        <w:rPr>
          <w:sz w:val="24"/>
          <w:szCs w:val="24"/>
        </w:rPr>
        <w:t>’</w:t>
      </w:r>
      <w:r w:rsidR="00C01944" w:rsidRPr="00D476A1">
        <w:rPr>
          <w:sz w:val="24"/>
          <w:szCs w:val="24"/>
        </w:rPr>
        <w:t xml:space="preserve"> </w:t>
      </w:r>
      <w:r>
        <w:rPr>
          <w:sz w:val="24"/>
          <w:szCs w:val="24"/>
        </w:rPr>
        <w:t>for a child of their age.</w:t>
      </w:r>
    </w:p>
    <w:p w:rsidR="001C72AC" w:rsidRDefault="001C72AC" w:rsidP="001C72AC">
      <w:pPr>
        <w:spacing w:after="0" w:line="240" w:lineRule="auto"/>
        <w:jc w:val="both"/>
        <w:rPr>
          <w:sz w:val="24"/>
          <w:szCs w:val="24"/>
        </w:rPr>
      </w:pPr>
    </w:p>
    <w:p w:rsidR="001C72AC" w:rsidRDefault="003E3455" w:rsidP="001C72AC">
      <w:pPr>
        <w:spacing w:after="0" w:line="240" w:lineRule="auto"/>
        <w:jc w:val="both"/>
        <w:rPr>
          <w:sz w:val="24"/>
          <w:szCs w:val="24"/>
        </w:rPr>
      </w:pPr>
      <w:r>
        <w:rPr>
          <w:sz w:val="24"/>
          <w:szCs w:val="24"/>
        </w:rPr>
        <w:t>The table below shows a</w:t>
      </w:r>
      <w:r w:rsidR="001C72AC">
        <w:rPr>
          <w:sz w:val="24"/>
          <w:szCs w:val="24"/>
        </w:rPr>
        <w:t xml:space="preserve"> breakdown of the percentage of children who achieved th</w:t>
      </w:r>
      <w:r w:rsidR="008C2900">
        <w:rPr>
          <w:sz w:val="24"/>
          <w:szCs w:val="24"/>
        </w:rPr>
        <w:t xml:space="preserve">e Early Learning Goals for 2016 </w:t>
      </w:r>
      <w:r>
        <w:rPr>
          <w:sz w:val="24"/>
          <w:szCs w:val="24"/>
        </w:rPr>
        <w:t>at Park Grove Primary School.</w:t>
      </w:r>
    </w:p>
    <w:p w:rsidR="008C2900" w:rsidRDefault="008C2900" w:rsidP="001C72AC">
      <w:pPr>
        <w:spacing w:after="0" w:line="240" w:lineRule="auto"/>
        <w:jc w:val="both"/>
        <w:rPr>
          <w:sz w:val="24"/>
          <w:szCs w:val="24"/>
        </w:rPr>
      </w:pPr>
    </w:p>
    <w:p w:rsidR="00D476A1" w:rsidRPr="008C2900" w:rsidRDefault="00D476A1" w:rsidP="00D476A1">
      <w:pPr>
        <w:rPr>
          <w:b/>
          <w:sz w:val="24"/>
          <w:szCs w:val="24"/>
          <w:u w:val="single"/>
        </w:rPr>
      </w:pPr>
      <w:r w:rsidRPr="008C2900">
        <w:rPr>
          <w:b/>
          <w:sz w:val="24"/>
          <w:szCs w:val="24"/>
          <w:u w:val="single"/>
        </w:rPr>
        <w:t>Areas of the Foundation Stage Profile which contribute to the GLD</w:t>
      </w:r>
    </w:p>
    <w:p w:rsidR="00CF14C9" w:rsidRDefault="00CF14C9" w:rsidP="00D4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559"/>
        <w:gridCol w:w="1843"/>
      </w:tblGrid>
      <w:tr w:rsidR="00845F66" w:rsidTr="00845F66">
        <w:trPr>
          <w:cantSplit/>
          <w:trHeight w:val="1165"/>
        </w:trPr>
        <w:tc>
          <w:tcPr>
            <w:tcW w:w="3085" w:type="dxa"/>
            <w:gridSpan w:val="2"/>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rPr>
                <w:rFonts w:eastAsia="Times New Roman" w:cs="Arial"/>
                <w:b/>
              </w:rPr>
            </w:pPr>
            <w:r>
              <w:rPr>
                <w:rFonts w:eastAsia="Times New Roman" w:cs="Arial"/>
              </w:rPr>
              <w:t xml:space="preserve">Area of Learning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F66" w:rsidRDefault="00845F66">
            <w:r>
              <w:t>% attaining Expected or above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F66" w:rsidRDefault="00845F66">
            <w:pPr>
              <w:spacing w:after="0"/>
            </w:pPr>
            <w:r>
              <w:t>% Exceeding</w:t>
            </w:r>
          </w:p>
          <w:p w:rsidR="00845F66" w:rsidRDefault="00845F66">
            <w:pPr>
              <w:spacing w:after="0"/>
            </w:pPr>
            <w:r>
              <w:t>Expected levels</w:t>
            </w:r>
          </w:p>
        </w:tc>
      </w:tr>
      <w:tr w:rsidR="00845F66" w:rsidTr="00845F66">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845F66" w:rsidRDefault="00845F66">
            <w:pPr>
              <w:spacing w:after="0" w:line="240" w:lineRule="auto"/>
              <w:ind w:left="113" w:right="113"/>
              <w:rPr>
                <w:rFonts w:eastAsia="Times New Roman" w:cs="Arial"/>
              </w:rPr>
            </w:pPr>
            <w:r>
              <w:rPr>
                <w:rFonts w:eastAsia="Times New Roman" w:cs="Arial"/>
              </w:rPr>
              <w:t>PSED</w:t>
            </w: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Making Relationships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F66" w:rsidRDefault="00845F66" w:rsidP="00845F66">
            <w:pPr>
              <w:spacing w:after="0" w:line="240" w:lineRule="auto"/>
              <w:jc w:val="center"/>
              <w:rPr>
                <w:rFonts w:eastAsia="Times New Roman" w:cs="Arial"/>
              </w:rPr>
            </w:pPr>
            <w:r>
              <w:rPr>
                <w:rFonts w:eastAsia="Times New Roman" w:cs="Arial"/>
              </w:rPr>
              <w:t>95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5F66" w:rsidRDefault="00845F66" w:rsidP="00845F66">
            <w:pPr>
              <w:spacing w:after="0" w:line="240" w:lineRule="auto"/>
              <w:jc w:val="center"/>
              <w:rPr>
                <w:rFonts w:eastAsia="Times New Roman" w:cs="Arial"/>
              </w:rPr>
            </w:pPr>
            <w:r>
              <w:rPr>
                <w:rFonts w:eastAsia="Times New Roman" w:cs="Arial"/>
              </w:rPr>
              <w:t>8</w:t>
            </w:r>
          </w:p>
        </w:tc>
      </w:tr>
      <w:tr w:rsidR="00845F66" w:rsidTr="00845F66">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Self Confidence &amp; Self Awareness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95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19</w:t>
            </w:r>
          </w:p>
        </w:tc>
      </w:tr>
      <w:tr w:rsidR="00845F66" w:rsidTr="00845F66">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Managing Feelings &amp; Behaviour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97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19</w:t>
            </w:r>
          </w:p>
        </w:tc>
      </w:tr>
      <w:tr w:rsidR="00845F66" w:rsidTr="00845F66">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845F66" w:rsidRDefault="00845F66">
            <w:pPr>
              <w:spacing w:after="0" w:line="240" w:lineRule="auto"/>
              <w:ind w:left="113" w:right="113"/>
              <w:rPr>
                <w:rFonts w:eastAsia="Times New Roman" w:cs="Arial"/>
              </w:rPr>
            </w:pPr>
            <w:r>
              <w:rPr>
                <w:rFonts w:eastAsia="Times New Roman" w:cs="Arial"/>
              </w:rPr>
              <w:t xml:space="preserve">C &amp; L </w:t>
            </w: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Listening &amp; Attention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97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22</w:t>
            </w:r>
          </w:p>
        </w:tc>
      </w:tr>
      <w:tr w:rsidR="00845F66" w:rsidTr="00845F66">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Understanding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22</w:t>
            </w:r>
          </w:p>
        </w:tc>
      </w:tr>
      <w:tr w:rsidR="00845F66" w:rsidTr="00845F66">
        <w:trPr>
          <w:trHeight w:val="96"/>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Speaking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95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24</w:t>
            </w:r>
          </w:p>
        </w:tc>
      </w:tr>
      <w:tr w:rsidR="00845F66" w:rsidTr="00845F66">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845F66" w:rsidRDefault="00845F66">
            <w:pPr>
              <w:spacing w:after="0" w:line="240" w:lineRule="auto"/>
              <w:ind w:left="113" w:right="113"/>
              <w:rPr>
                <w:rFonts w:eastAsia="Times New Roman" w:cs="Arial"/>
              </w:rPr>
            </w:pPr>
            <w:r>
              <w:rPr>
                <w:rFonts w:eastAsia="Times New Roman" w:cs="Arial"/>
              </w:rPr>
              <w:t xml:space="preserve">PD  </w:t>
            </w: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Moving &amp; Handling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89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14</w:t>
            </w:r>
          </w:p>
        </w:tc>
      </w:tr>
      <w:tr w:rsidR="00845F66" w:rsidTr="00845F66">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Health &amp; Self Care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92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16</w:t>
            </w:r>
          </w:p>
        </w:tc>
      </w:tr>
      <w:tr w:rsidR="00845F66" w:rsidTr="00845F66">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845F66" w:rsidRDefault="00845F66">
            <w:pPr>
              <w:spacing w:after="0" w:line="240" w:lineRule="auto"/>
              <w:ind w:left="113" w:right="113"/>
              <w:jc w:val="center"/>
              <w:rPr>
                <w:rFonts w:eastAsia="Times New Roman" w:cs="Arial"/>
              </w:rPr>
            </w:pPr>
            <w:r>
              <w:rPr>
                <w:rFonts w:eastAsia="Times New Roman" w:cs="Arial"/>
              </w:rPr>
              <w:t>Literacy &amp; Numeracy</w:t>
            </w: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Writing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84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24</w:t>
            </w:r>
          </w:p>
        </w:tc>
      </w:tr>
      <w:tr w:rsidR="00845F66" w:rsidTr="00845F66">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Reading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78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19</w:t>
            </w:r>
          </w:p>
        </w:tc>
      </w:tr>
      <w:tr w:rsidR="00845F66" w:rsidTr="00845F66">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Number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84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22</w:t>
            </w:r>
          </w:p>
        </w:tc>
      </w:tr>
      <w:tr w:rsidR="00845F66" w:rsidTr="00845F66">
        <w:tc>
          <w:tcPr>
            <w:tcW w:w="3085"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2268"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 xml:space="preserve">Shape Space &amp; Measure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84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45F66" w:rsidRDefault="00845F66" w:rsidP="00845F66">
            <w:pPr>
              <w:spacing w:after="0" w:line="240" w:lineRule="auto"/>
              <w:jc w:val="center"/>
              <w:rPr>
                <w:rFonts w:eastAsia="Times New Roman" w:cs="Arial"/>
              </w:rPr>
            </w:pPr>
            <w:r>
              <w:rPr>
                <w:rFonts w:eastAsia="Times New Roman" w:cs="Arial"/>
              </w:rPr>
              <w:t>16</w:t>
            </w:r>
          </w:p>
        </w:tc>
      </w:tr>
    </w:tbl>
    <w:p w:rsidR="00845F66" w:rsidRDefault="00845F66" w:rsidP="00845F66">
      <w:r>
        <w:lastRenderedPageBreak/>
        <w:t>Other Areas of the Foundation Stage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1701"/>
        <w:gridCol w:w="1701"/>
      </w:tblGrid>
      <w:tr w:rsidR="00845F66" w:rsidTr="00845F66">
        <w:trPr>
          <w:trHeight w:val="389"/>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45F66" w:rsidRDefault="00845F66">
            <w:pPr>
              <w:spacing w:after="0" w:line="240" w:lineRule="auto"/>
              <w:ind w:left="113" w:right="113"/>
              <w:rPr>
                <w:rFonts w:eastAsia="Times New Roman" w:cs="Arial"/>
              </w:rPr>
            </w:pPr>
            <w:r>
              <w:rPr>
                <w:rFonts w:eastAsia="Times New Roman" w:cs="Arial"/>
              </w:rPr>
              <w:t>UTW</w:t>
            </w:r>
          </w:p>
        </w:tc>
        <w:tc>
          <w:tcPr>
            <w:tcW w:w="3402"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People</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100</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19</w:t>
            </w:r>
          </w:p>
        </w:tc>
      </w:tr>
      <w:tr w:rsidR="00845F66" w:rsidTr="00845F66">
        <w:tc>
          <w:tcPr>
            <w:tcW w:w="392"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3402"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The World</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100</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16</w:t>
            </w:r>
          </w:p>
        </w:tc>
      </w:tr>
      <w:tr w:rsidR="00845F66" w:rsidTr="00845F66">
        <w:tc>
          <w:tcPr>
            <w:tcW w:w="392"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3402"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Technology</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97</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6</w:t>
            </w:r>
          </w:p>
        </w:tc>
      </w:tr>
      <w:tr w:rsidR="00845F66" w:rsidTr="00845F66">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845F66" w:rsidRDefault="00845F66">
            <w:pPr>
              <w:spacing w:after="0" w:line="240" w:lineRule="auto"/>
              <w:ind w:left="113" w:right="113"/>
              <w:rPr>
                <w:rFonts w:eastAsia="Times New Roman" w:cs="Arial"/>
              </w:rPr>
            </w:pPr>
            <w:r>
              <w:rPr>
                <w:rFonts w:eastAsia="Times New Roman" w:cs="Arial"/>
              </w:rPr>
              <w:t>EA</w:t>
            </w:r>
          </w:p>
        </w:tc>
        <w:tc>
          <w:tcPr>
            <w:tcW w:w="3402"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Media</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97</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11</w:t>
            </w:r>
          </w:p>
        </w:tc>
      </w:tr>
      <w:tr w:rsidR="00845F66" w:rsidTr="00845F66">
        <w:tc>
          <w:tcPr>
            <w:tcW w:w="392" w:type="dxa"/>
            <w:vMerge/>
            <w:tcBorders>
              <w:top w:val="single" w:sz="4" w:space="0" w:color="auto"/>
              <w:left w:val="single" w:sz="4" w:space="0" w:color="auto"/>
              <w:bottom w:val="single" w:sz="4" w:space="0" w:color="auto"/>
              <w:right w:val="single" w:sz="4" w:space="0" w:color="auto"/>
            </w:tcBorders>
            <w:vAlign w:val="center"/>
            <w:hideMark/>
          </w:tcPr>
          <w:p w:rsidR="00845F66" w:rsidRDefault="00845F66">
            <w:pPr>
              <w:spacing w:after="0" w:line="240" w:lineRule="auto"/>
              <w:rPr>
                <w:rFonts w:eastAsia="Times New Roman" w:cs="Arial"/>
              </w:rPr>
            </w:pPr>
          </w:p>
        </w:tc>
        <w:tc>
          <w:tcPr>
            <w:tcW w:w="3402" w:type="dxa"/>
            <w:tcBorders>
              <w:top w:val="single" w:sz="4" w:space="0" w:color="auto"/>
              <w:left w:val="single" w:sz="4" w:space="0" w:color="auto"/>
              <w:bottom w:val="single" w:sz="4" w:space="0" w:color="auto"/>
              <w:right w:val="single" w:sz="4" w:space="0" w:color="auto"/>
            </w:tcBorders>
            <w:hideMark/>
          </w:tcPr>
          <w:p w:rsidR="00845F66" w:rsidRDefault="00845F66">
            <w:pPr>
              <w:spacing w:after="0" w:line="240" w:lineRule="auto"/>
              <w:jc w:val="center"/>
              <w:rPr>
                <w:rFonts w:eastAsia="Times New Roman" w:cs="Arial"/>
              </w:rPr>
            </w:pPr>
            <w:r>
              <w:rPr>
                <w:rFonts w:eastAsia="Times New Roman" w:cs="Arial"/>
              </w:rPr>
              <w:t>Imagination</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97</w:t>
            </w:r>
          </w:p>
        </w:tc>
        <w:tc>
          <w:tcPr>
            <w:tcW w:w="1701" w:type="dxa"/>
            <w:tcBorders>
              <w:top w:val="single" w:sz="4" w:space="0" w:color="auto"/>
              <w:left w:val="single" w:sz="4" w:space="0" w:color="auto"/>
              <w:bottom w:val="single" w:sz="4" w:space="0" w:color="auto"/>
              <w:right w:val="single" w:sz="4" w:space="0" w:color="auto"/>
            </w:tcBorders>
          </w:tcPr>
          <w:p w:rsidR="00845F66" w:rsidRDefault="00845F66">
            <w:pPr>
              <w:spacing w:after="0" w:line="240" w:lineRule="auto"/>
              <w:jc w:val="center"/>
              <w:rPr>
                <w:rFonts w:eastAsia="Times New Roman" w:cs="Arial"/>
              </w:rPr>
            </w:pPr>
            <w:r>
              <w:rPr>
                <w:rFonts w:eastAsia="Times New Roman" w:cs="Arial"/>
              </w:rPr>
              <w:t>14</w:t>
            </w:r>
          </w:p>
        </w:tc>
      </w:tr>
    </w:tbl>
    <w:p w:rsidR="00845F66" w:rsidRDefault="00845F66" w:rsidP="00845F66">
      <w:pPr>
        <w:spacing w:after="0" w:line="240" w:lineRule="auto"/>
        <w:jc w:val="both"/>
        <w:rPr>
          <w:sz w:val="24"/>
          <w:szCs w:val="24"/>
        </w:rPr>
      </w:pPr>
    </w:p>
    <w:p w:rsidR="001C72AC" w:rsidRDefault="001C72AC" w:rsidP="001C72AC">
      <w:pPr>
        <w:spacing w:after="0" w:line="240" w:lineRule="auto"/>
        <w:jc w:val="both"/>
        <w:rPr>
          <w:sz w:val="24"/>
          <w:szCs w:val="24"/>
        </w:rPr>
      </w:pPr>
      <w:r>
        <w:rPr>
          <w:sz w:val="24"/>
          <w:szCs w:val="24"/>
        </w:rPr>
        <w:t>PSED – Personal, social and emotional development</w:t>
      </w:r>
    </w:p>
    <w:p w:rsidR="001C72AC" w:rsidRDefault="001C72AC" w:rsidP="001C72AC">
      <w:pPr>
        <w:spacing w:after="0" w:line="240" w:lineRule="auto"/>
        <w:jc w:val="both"/>
        <w:rPr>
          <w:sz w:val="24"/>
          <w:szCs w:val="24"/>
        </w:rPr>
      </w:pPr>
      <w:r>
        <w:rPr>
          <w:sz w:val="24"/>
          <w:szCs w:val="24"/>
        </w:rPr>
        <w:t>C&amp;L – Communication and language</w:t>
      </w:r>
    </w:p>
    <w:p w:rsidR="001C72AC" w:rsidRDefault="001C72AC" w:rsidP="001C72AC">
      <w:pPr>
        <w:spacing w:after="0" w:line="240" w:lineRule="auto"/>
        <w:jc w:val="both"/>
        <w:rPr>
          <w:sz w:val="24"/>
          <w:szCs w:val="24"/>
        </w:rPr>
      </w:pPr>
      <w:r>
        <w:rPr>
          <w:sz w:val="24"/>
          <w:szCs w:val="24"/>
        </w:rPr>
        <w:t>PD – Physical development</w:t>
      </w:r>
    </w:p>
    <w:p w:rsidR="00D476A1" w:rsidRDefault="00D476A1" w:rsidP="001C72AC">
      <w:pPr>
        <w:spacing w:after="0" w:line="240" w:lineRule="auto"/>
        <w:jc w:val="both"/>
        <w:rPr>
          <w:sz w:val="24"/>
          <w:szCs w:val="24"/>
        </w:rPr>
      </w:pPr>
      <w:r>
        <w:rPr>
          <w:sz w:val="24"/>
          <w:szCs w:val="24"/>
        </w:rPr>
        <w:t>UTW – Understanding the world</w:t>
      </w:r>
    </w:p>
    <w:p w:rsidR="00D476A1" w:rsidRDefault="00D476A1" w:rsidP="001C72AC">
      <w:pPr>
        <w:spacing w:after="0" w:line="240" w:lineRule="auto"/>
        <w:jc w:val="both"/>
        <w:rPr>
          <w:sz w:val="24"/>
          <w:szCs w:val="24"/>
        </w:rPr>
      </w:pPr>
      <w:r>
        <w:rPr>
          <w:sz w:val="24"/>
          <w:szCs w:val="24"/>
        </w:rPr>
        <w:t xml:space="preserve">EA </w:t>
      </w:r>
      <w:r w:rsidR="005B21F0">
        <w:rPr>
          <w:sz w:val="24"/>
          <w:szCs w:val="24"/>
        </w:rPr>
        <w:t>–</w:t>
      </w:r>
      <w:r>
        <w:rPr>
          <w:sz w:val="24"/>
          <w:szCs w:val="24"/>
        </w:rPr>
        <w:t xml:space="preserve"> </w:t>
      </w:r>
      <w:r w:rsidR="005B21F0" w:rsidRPr="0001537F">
        <w:rPr>
          <w:color w:val="000000" w:themeColor="text1"/>
          <w:sz w:val="24"/>
          <w:szCs w:val="24"/>
        </w:rPr>
        <w:t>Expressive arts and design</w:t>
      </w:r>
    </w:p>
    <w:p w:rsidR="001636AE" w:rsidRDefault="001636AE" w:rsidP="001C72AC">
      <w:pPr>
        <w:spacing w:after="0" w:line="240" w:lineRule="auto"/>
        <w:jc w:val="both"/>
        <w:rPr>
          <w:sz w:val="24"/>
          <w:szCs w:val="24"/>
        </w:rPr>
      </w:pPr>
    </w:p>
    <w:p w:rsidR="002E7317" w:rsidRDefault="001C72AC" w:rsidP="001C72AC">
      <w:pPr>
        <w:spacing w:after="0" w:line="240" w:lineRule="auto"/>
        <w:jc w:val="both"/>
        <w:rPr>
          <w:sz w:val="24"/>
          <w:szCs w:val="24"/>
        </w:rPr>
      </w:pPr>
      <w:r w:rsidRPr="00D476A1">
        <w:rPr>
          <w:sz w:val="24"/>
          <w:szCs w:val="24"/>
        </w:rPr>
        <w:t xml:space="preserve">At Park Grove, the number of children achieving </w:t>
      </w:r>
      <w:r w:rsidR="00D476A1" w:rsidRPr="00D476A1">
        <w:rPr>
          <w:sz w:val="24"/>
          <w:szCs w:val="24"/>
        </w:rPr>
        <w:t>a Good Level of D</w:t>
      </w:r>
      <w:r w:rsidR="001636AE" w:rsidRPr="00D476A1">
        <w:rPr>
          <w:sz w:val="24"/>
          <w:szCs w:val="24"/>
        </w:rPr>
        <w:t>evelopment</w:t>
      </w:r>
      <w:r w:rsidR="0088549A">
        <w:rPr>
          <w:sz w:val="24"/>
          <w:szCs w:val="24"/>
        </w:rPr>
        <w:t xml:space="preserve"> in </w:t>
      </w:r>
      <w:r w:rsidR="002E7317">
        <w:rPr>
          <w:sz w:val="24"/>
          <w:szCs w:val="24"/>
        </w:rPr>
        <w:t xml:space="preserve">2016 </w:t>
      </w:r>
      <w:r w:rsidR="00BF4BBF">
        <w:rPr>
          <w:sz w:val="24"/>
          <w:szCs w:val="24"/>
        </w:rPr>
        <w:t>was</w:t>
      </w:r>
      <w:r w:rsidR="001636AE" w:rsidRPr="00D476A1">
        <w:rPr>
          <w:sz w:val="24"/>
          <w:szCs w:val="24"/>
        </w:rPr>
        <w:t xml:space="preserve"> </w:t>
      </w:r>
      <w:r w:rsidR="002E7317">
        <w:rPr>
          <w:sz w:val="24"/>
          <w:szCs w:val="24"/>
        </w:rPr>
        <w:t>3</w:t>
      </w:r>
      <w:r w:rsidR="002C0D3B">
        <w:rPr>
          <w:sz w:val="24"/>
          <w:szCs w:val="24"/>
        </w:rPr>
        <w:t xml:space="preserve">% </w:t>
      </w:r>
      <w:r w:rsidRPr="00D476A1">
        <w:rPr>
          <w:sz w:val="24"/>
          <w:szCs w:val="24"/>
        </w:rPr>
        <w:t xml:space="preserve">higher than </w:t>
      </w:r>
      <w:r w:rsidR="001636AE" w:rsidRPr="00D476A1">
        <w:rPr>
          <w:sz w:val="24"/>
          <w:szCs w:val="24"/>
        </w:rPr>
        <w:t xml:space="preserve">the outcome </w:t>
      </w:r>
      <w:r w:rsidR="002E7317">
        <w:rPr>
          <w:sz w:val="24"/>
          <w:szCs w:val="24"/>
        </w:rPr>
        <w:t xml:space="preserve">for 2015 and 12% above National figures for 2015. </w:t>
      </w:r>
    </w:p>
    <w:p w:rsidR="002E7317" w:rsidRDefault="002E7317" w:rsidP="001C72AC">
      <w:pPr>
        <w:spacing w:after="0" w:line="240" w:lineRule="auto"/>
        <w:jc w:val="both"/>
        <w:rPr>
          <w:sz w:val="24"/>
          <w:szCs w:val="24"/>
        </w:rPr>
      </w:pPr>
    </w:p>
    <w:p w:rsidR="00CA6EDB" w:rsidRPr="003E3455" w:rsidRDefault="00CA6EDB" w:rsidP="001C72AC">
      <w:pPr>
        <w:spacing w:after="0" w:line="240" w:lineRule="auto"/>
        <w:jc w:val="both"/>
        <w:rPr>
          <w:b/>
          <w:sz w:val="24"/>
          <w:szCs w:val="24"/>
          <w:u w:val="single"/>
        </w:rPr>
      </w:pPr>
      <w:r w:rsidRPr="003E3455">
        <w:rPr>
          <w:b/>
          <w:sz w:val="24"/>
          <w:szCs w:val="24"/>
          <w:u w:val="single"/>
        </w:rPr>
        <w:t>Good Level of Development results</w:t>
      </w:r>
    </w:p>
    <w:p w:rsidR="00CA6EDB" w:rsidRDefault="00CA6EDB" w:rsidP="001C72AC">
      <w:pPr>
        <w:spacing w:after="0" w:line="240" w:lineRule="auto"/>
        <w:jc w:val="both"/>
        <w:rPr>
          <w:sz w:val="24"/>
          <w:szCs w:val="24"/>
        </w:rPr>
      </w:pPr>
    </w:p>
    <w:tbl>
      <w:tblPr>
        <w:tblStyle w:val="TableGrid"/>
        <w:tblW w:w="10740" w:type="dxa"/>
        <w:tblLayout w:type="fixed"/>
        <w:tblLook w:val="04A0" w:firstRow="1" w:lastRow="0" w:firstColumn="1" w:lastColumn="0" w:noHBand="0" w:noVBand="1"/>
      </w:tblPr>
      <w:tblGrid>
        <w:gridCol w:w="1526"/>
        <w:gridCol w:w="1044"/>
        <w:gridCol w:w="1224"/>
        <w:gridCol w:w="1134"/>
        <w:gridCol w:w="1134"/>
        <w:gridCol w:w="1193"/>
        <w:gridCol w:w="1217"/>
        <w:gridCol w:w="1134"/>
        <w:gridCol w:w="1134"/>
      </w:tblGrid>
      <w:tr w:rsidR="002E775F" w:rsidRPr="002E775F" w:rsidTr="0001451D">
        <w:tc>
          <w:tcPr>
            <w:tcW w:w="1526" w:type="dxa"/>
          </w:tcPr>
          <w:p w:rsidR="002E775F" w:rsidRPr="0001451D" w:rsidRDefault="002E775F" w:rsidP="00D71D5C">
            <w:pPr>
              <w:jc w:val="center"/>
              <w:rPr>
                <w:szCs w:val="20"/>
              </w:rPr>
            </w:pPr>
            <w:r w:rsidRPr="0001451D">
              <w:rPr>
                <w:szCs w:val="20"/>
              </w:rPr>
              <w:t>Reception</w:t>
            </w:r>
          </w:p>
        </w:tc>
        <w:tc>
          <w:tcPr>
            <w:tcW w:w="1044" w:type="dxa"/>
          </w:tcPr>
          <w:p w:rsidR="002E775F" w:rsidRPr="0001451D" w:rsidRDefault="002E775F" w:rsidP="00D71D5C">
            <w:pPr>
              <w:jc w:val="center"/>
              <w:rPr>
                <w:szCs w:val="20"/>
              </w:rPr>
            </w:pPr>
            <w:r w:rsidRPr="0001451D">
              <w:rPr>
                <w:szCs w:val="20"/>
              </w:rPr>
              <w:t>Park Grove 2013</w:t>
            </w:r>
          </w:p>
        </w:tc>
        <w:tc>
          <w:tcPr>
            <w:tcW w:w="1224" w:type="dxa"/>
          </w:tcPr>
          <w:p w:rsidR="002E775F" w:rsidRPr="0001451D" w:rsidRDefault="002E775F" w:rsidP="00D71D5C">
            <w:pPr>
              <w:jc w:val="center"/>
              <w:rPr>
                <w:szCs w:val="20"/>
              </w:rPr>
            </w:pPr>
            <w:r w:rsidRPr="0001451D">
              <w:rPr>
                <w:szCs w:val="20"/>
              </w:rPr>
              <w:t>National result 2013</w:t>
            </w:r>
          </w:p>
        </w:tc>
        <w:tc>
          <w:tcPr>
            <w:tcW w:w="1134" w:type="dxa"/>
          </w:tcPr>
          <w:p w:rsidR="002E775F" w:rsidRPr="0001451D" w:rsidRDefault="002E775F" w:rsidP="00D71D5C">
            <w:pPr>
              <w:jc w:val="center"/>
              <w:rPr>
                <w:szCs w:val="20"/>
              </w:rPr>
            </w:pPr>
            <w:r w:rsidRPr="0001451D">
              <w:rPr>
                <w:szCs w:val="20"/>
              </w:rPr>
              <w:t>Park Grove 2014</w:t>
            </w:r>
          </w:p>
        </w:tc>
        <w:tc>
          <w:tcPr>
            <w:tcW w:w="1134" w:type="dxa"/>
          </w:tcPr>
          <w:p w:rsidR="002E775F" w:rsidRPr="0001451D" w:rsidRDefault="002E775F" w:rsidP="00D71D5C">
            <w:pPr>
              <w:jc w:val="center"/>
              <w:rPr>
                <w:szCs w:val="20"/>
              </w:rPr>
            </w:pPr>
            <w:r w:rsidRPr="0001451D">
              <w:rPr>
                <w:szCs w:val="20"/>
              </w:rPr>
              <w:t xml:space="preserve"> National result 2014</w:t>
            </w:r>
          </w:p>
        </w:tc>
        <w:tc>
          <w:tcPr>
            <w:tcW w:w="1193" w:type="dxa"/>
          </w:tcPr>
          <w:p w:rsidR="002E775F" w:rsidRPr="0001451D" w:rsidRDefault="002E775F" w:rsidP="00D71D5C">
            <w:pPr>
              <w:jc w:val="center"/>
              <w:rPr>
                <w:szCs w:val="20"/>
              </w:rPr>
            </w:pPr>
            <w:r w:rsidRPr="0001451D">
              <w:rPr>
                <w:szCs w:val="20"/>
              </w:rPr>
              <w:t>Park Grove 2015</w:t>
            </w:r>
          </w:p>
        </w:tc>
        <w:tc>
          <w:tcPr>
            <w:tcW w:w="1217" w:type="dxa"/>
          </w:tcPr>
          <w:p w:rsidR="002E775F" w:rsidRPr="0001451D" w:rsidRDefault="002E775F" w:rsidP="00D71D5C">
            <w:pPr>
              <w:jc w:val="center"/>
              <w:rPr>
                <w:szCs w:val="20"/>
              </w:rPr>
            </w:pPr>
            <w:r w:rsidRPr="0001451D">
              <w:rPr>
                <w:szCs w:val="20"/>
              </w:rPr>
              <w:t>National result 2015</w:t>
            </w:r>
          </w:p>
        </w:tc>
        <w:tc>
          <w:tcPr>
            <w:tcW w:w="1134" w:type="dxa"/>
          </w:tcPr>
          <w:p w:rsidR="002E775F" w:rsidRPr="0001451D" w:rsidRDefault="002E775F" w:rsidP="00D71D5C">
            <w:pPr>
              <w:jc w:val="center"/>
              <w:rPr>
                <w:szCs w:val="20"/>
              </w:rPr>
            </w:pPr>
            <w:r w:rsidRPr="0001451D">
              <w:rPr>
                <w:szCs w:val="20"/>
              </w:rPr>
              <w:t>Park Grove 2016</w:t>
            </w:r>
          </w:p>
        </w:tc>
        <w:tc>
          <w:tcPr>
            <w:tcW w:w="1134" w:type="dxa"/>
          </w:tcPr>
          <w:p w:rsidR="002E775F" w:rsidRPr="0001451D" w:rsidRDefault="002E775F" w:rsidP="00D71D5C">
            <w:pPr>
              <w:jc w:val="center"/>
              <w:rPr>
                <w:szCs w:val="20"/>
              </w:rPr>
            </w:pPr>
            <w:r w:rsidRPr="0001451D">
              <w:rPr>
                <w:szCs w:val="20"/>
              </w:rPr>
              <w:t>National result 2016</w:t>
            </w:r>
          </w:p>
        </w:tc>
      </w:tr>
      <w:tr w:rsidR="002E775F" w:rsidRPr="002E775F" w:rsidTr="0001451D">
        <w:tc>
          <w:tcPr>
            <w:tcW w:w="1526" w:type="dxa"/>
          </w:tcPr>
          <w:p w:rsidR="002E775F" w:rsidRDefault="0001451D" w:rsidP="00D71D5C">
            <w:pPr>
              <w:jc w:val="center"/>
              <w:rPr>
                <w:szCs w:val="20"/>
              </w:rPr>
            </w:pPr>
            <w:r>
              <w:rPr>
                <w:szCs w:val="20"/>
              </w:rPr>
              <w:t>Good Level of Development</w:t>
            </w:r>
          </w:p>
          <w:p w:rsidR="0001451D" w:rsidRPr="0001451D" w:rsidRDefault="0001451D" w:rsidP="00D71D5C">
            <w:pPr>
              <w:jc w:val="center"/>
              <w:rPr>
                <w:szCs w:val="20"/>
              </w:rPr>
            </w:pPr>
          </w:p>
        </w:tc>
        <w:tc>
          <w:tcPr>
            <w:tcW w:w="1044"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47%</w:t>
            </w:r>
          </w:p>
        </w:tc>
        <w:tc>
          <w:tcPr>
            <w:tcW w:w="1224"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52%</w:t>
            </w:r>
          </w:p>
        </w:tc>
        <w:tc>
          <w:tcPr>
            <w:tcW w:w="1134"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64%</w:t>
            </w:r>
          </w:p>
        </w:tc>
        <w:tc>
          <w:tcPr>
            <w:tcW w:w="1134"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60%</w:t>
            </w:r>
          </w:p>
        </w:tc>
        <w:tc>
          <w:tcPr>
            <w:tcW w:w="1193"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75%</w:t>
            </w:r>
          </w:p>
        </w:tc>
        <w:tc>
          <w:tcPr>
            <w:tcW w:w="1217"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66%</w:t>
            </w:r>
          </w:p>
        </w:tc>
        <w:tc>
          <w:tcPr>
            <w:tcW w:w="1134"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78%</w:t>
            </w:r>
          </w:p>
        </w:tc>
        <w:tc>
          <w:tcPr>
            <w:tcW w:w="1134" w:type="dxa"/>
          </w:tcPr>
          <w:p w:rsidR="002E775F" w:rsidRPr="0001451D" w:rsidRDefault="002E775F" w:rsidP="00D71D5C">
            <w:pPr>
              <w:jc w:val="center"/>
              <w:rPr>
                <w:szCs w:val="20"/>
              </w:rPr>
            </w:pPr>
          </w:p>
          <w:p w:rsidR="002E7317" w:rsidRPr="0001451D" w:rsidRDefault="002E7317" w:rsidP="00D71D5C">
            <w:pPr>
              <w:jc w:val="center"/>
              <w:rPr>
                <w:szCs w:val="20"/>
              </w:rPr>
            </w:pPr>
            <w:r w:rsidRPr="0001451D">
              <w:rPr>
                <w:szCs w:val="20"/>
              </w:rPr>
              <w:t>TBC</w:t>
            </w:r>
          </w:p>
        </w:tc>
      </w:tr>
    </w:tbl>
    <w:p w:rsidR="00CA6EDB" w:rsidRPr="002E775F" w:rsidRDefault="00CA6EDB" w:rsidP="00CA6EDB">
      <w:pPr>
        <w:spacing w:after="0" w:line="240" w:lineRule="auto"/>
        <w:jc w:val="both"/>
        <w:rPr>
          <w:sz w:val="20"/>
          <w:szCs w:val="20"/>
        </w:rPr>
      </w:pPr>
    </w:p>
    <w:p w:rsidR="00CA6EDB" w:rsidRPr="009576C2" w:rsidRDefault="00CA6EDB" w:rsidP="00CA6EDB">
      <w:pPr>
        <w:spacing w:after="0" w:line="240" w:lineRule="auto"/>
        <w:jc w:val="both"/>
        <w:rPr>
          <w:b/>
          <w:sz w:val="24"/>
          <w:szCs w:val="24"/>
          <w:u w:val="single"/>
        </w:rPr>
      </w:pPr>
      <w:r w:rsidRPr="009576C2">
        <w:rPr>
          <w:b/>
          <w:sz w:val="24"/>
          <w:szCs w:val="24"/>
          <w:u w:val="single"/>
        </w:rPr>
        <w:t>Year One Phonics Screening Check</w:t>
      </w:r>
    </w:p>
    <w:p w:rsidR="00CA6EDB" w:rsidRDefault="00CA6EDB" w:rsidP="00CA6EDB">
      <w:pPr>
        <w:spacing w:after="0" w:line="240" w:lineRule="auto"/>
        <w:jc w:val="both"/>
        <w:rPr>
          <w:sz w:val="24"/>
          <w:szCs w:val="24"/>
        </w:rPr>
      </w:pPr>
    </w:p>
    <w:p w:rsidR="00CA6EDB" w:rsidRDefault="00CA6EDB" w:rsidP="00CA6EDB">
      <w:pPr>
        <w:spacing w:after="0" w:line="240" w:lineRule="auto"/>
        <w:jc w:val="both"/>
        <w:rPr>
          <w:sz w:val="24"/>
          <w:szCs w:val="24"/>
        </w:rPr>
      </w:pPr>
      <w:r>
        <w:rPr>
          <w:sz w:val="24"/>
          <w:szCs w:val="24"/>
        </w:rPr>
        <w:t>Every year</w:t>
      </w:r>
      <w:r w:rsidR="003E3455">
        <w:rPr>
          <w:sz w:val="24"/>
          <w:szCs w:val="24"/>
        </w:rPr>
        <w:t>,</w:t>
      </w:r>
      <w:r>
        <w:rPr>
          <w:sz w:val="24"/>
          <w:szCs w:val="24"/>
        </w:rPr>
        <w:t xml:space="preserve"> in June, the Year One children are given a Phonics Screening Check.  This is </w:t>
      </w:r>
      <w:r w:rsidR="009A1F42">
        <w:rPr>
          <w:sz w:val="24"/>
          <w:szCs w:val="24"/>
        </w:rPr>
        <w:t xml:space="preserve">a </w:t>
      </w:r>
      <w:r w:rsidR="009A1F42" w:rsidRPr="00D476A1">
        <w:rPr>
          <w:sz w:val="24"/>
          <w:szCs w:val="24"/>
        </w:rPr>
        <w:t xml:space="preserve">statutory check </w:t>
      </w:r>
      <w:r>
        <w:rPr>
          <w:sz w:val="24"/>
          <w:szCs w:val="24"/>
        </w:rPr>
        <w:t>to assess whether they have met the standard that is expected for a Year One child</w:t>
      </w:r>
      <w:r w:rsidR="003E3455">
        <w:rPr>
          <w:sz w:val="24"/>
          <w:szCs w:val="24"/>
        </w:rPr>
        <w:t xml:space="preserve"> in phonics</w:t>
      </w:r>
      <w:r>
        <w:rPr>
          <w:sz w:val="24"/>
          <w:szCs w:val="24"/>
        </w:rPr>
        <w:t>.  The children are assessed in a 1-1 environment with their teacher to determine whether they are able to ‘sound out’ words by using the skills they have learnt in their phonics lessons throughout the year.  If the children do not meet the required standard at the end of Year One, they are assessed again in Year Two.</w:t>
      </w:r>
    </w:p>
    <w:p w:rsidR="002E7317" w:rsidRDefault="002E7317" w:rsidP="00CA6EDB">
      <w:pPr>
        <w:spacing w:after="0" w:line="240" w:lineRule="auto"/>
        <w:jc w:val="both"/>
        <w:rPr>
          <w:sz w:val="24"/>
          <w:szCs w:val="24"/>
        </w:rPr>
      </w:pPr>
    </w:p>
    <w:p w:rsidR="002E7317" w:rsidRDefault="002E7317" w:rsidP="00CA6EDB">
      <w:pPr>
        <w:spacing w:after="0" w:line="240" w:lineRule="auto"/>
        <w:jc w:val="both"/>
        <w:rPr>
          <w:sz w:val="24"/>
          <w:szCs w:val="24"/>
        </w:rPr>
      </w:pPr>
      <w:r>
        <w:rPr>
          <w:sz w:val="24"/>
          <w:szCs w:val="24"/>
        </w:rPr>
        <w:t>In 2016, 83% of Park Grove</w:t>
      </w:r>
      <w:r w:rsidR="008C2900">
        <w:rPr>
          <w:sz w:val="24"/>
          <w:szCs w:val="24"/>
        </w:rPr>
        <w:t xml:space="preserve"> Year One</w:t>
      </w:r>
      <w:r>
        <w:rPr>
          <w:sz w:val="24"/>
          <w:szCs w:val="24"/>
        </w:rPr>
        <w:t xml:space="preserve"> children met the expected level, which is 6% above the National figure for 2015.</w:t>
      </w:r>
    </w:p>
    <w:p w:rsidR="003E3455" w:rsidRDefault="003E3455" w:rsidP="00CA6EDB">
      <w:pPr>
        <w:spacing w:after="0" w:line="240" w:lineRule="auto"/>
        <w:jc w:val="both"/>
        <w:rPr>
          <w:sz w:val="24"/>
          <w:szCs w:val="24"/>
        </w:rPr>
      </w:pPr>
    </w:p>
    <w:p w:rsidR="003E3455" w:rsidRDefault="003E3455" w:rsidP="00CA6EDB">
      <w:pPr>
        <w:spacing w:after="0" w:line="240" w:lineRule="auto"/>
        <w:jc w:val="both"/>
        <w:rPr>
          <w:sz w:val="24"/>
          <w:szCs w:val="24"/>
        </w:rPr>
      </w:pPr>
      <w:r>
        <w:rPr>
          <w:sz w:val="24"/>
          <w:szCs w:val="24"/>
        </w:rPr>
        <w:t>Of those children completing the phonics check for the second time</w:t>
      </w:r>
      <w:r w:rsidR="008C2900">
        <w:rPr>
          <w:sz w:val="24"/>
          <w:szCs w:val="24"/>
        </w:rPr>
        <w:t>,</w:t>
      </w:r>
      <w:r>
        <w:rPr>
          <w:sz w:val="24"/>
          <w:szCs w:val="24"/>
        </w:rPr>
        <w:t xml:space="preserve"> in Year Two</w:t>
      </w:r>
      <w:r w:rsidR="00F74CF6">
        <w:rPr>
          <w:sz w:val="24"/>
          <w:szCs w:val="24"/>
        </w:rPr>
        <w:t>,</w:t>
      </w:r>
      <w:r w:rsidR="002E775F">
        <w:rPr>
          <w:sz w:val="24"/>
          <w:szCs w:val="24"/>
        </w:rPr>
        <w:t xml:space="preserve"> 75</w:t>
      </w:r>
      <w:r w:rsidR="002C0D3B">
        <w:rPr>
          <w:sz w:val="24"/>
          <w:szCs w:val="24"/>
        </w:rPr>
        <w:t xml:space="preserve">% </w:t>
      </w:r>
      <w:r w:rsidR="002E775F">
        <w:rPr>
          <w:sz w:val="24"/>
          <w:szCs w:val="24"/>
        </w:rPr>
        <w:t>met the expected level in 2016</w:t>
      </w:r>
      <w:r>
        <w:rPr>
          <w:sz w:val="24"/>
          <w:szCs w:val="24"/>
        </w:rPr>
        <w:t>.</w:t>
      </w:r>
    </w:p>
    <w:p w:rsidR="008C2900" w:rsidRDefault="008C2900" w:rsidP="00CA6EDB">
      <w:pPr>
        <w:spacing w:after="0" w:line="240" w:lineRule="auto"/>
        <w:jc w:val="both"/>
        <w:rPr>
          <w:sz w:val="24"/>
          <w:szCs w:val="24"/>
        </w:rPr>
      </w:pPr>
    </w:p>
    <w:p w:rsidR="00CA6EDB" w:rsidRDefault="00CA6EDB" w:rsidP="00CA6EDB">
      <w:pPr>
        <w:spacing w:after="0" w:line="240" w:lineRule="auto"/>
        <w:jc w:val="both"/>
        <w:rPr>
          <w:sz w:val="24"/>
          <w:szCs w:val="24"/>
        </w:rPr>
      </w:pPr>
    </w:p>
    <w:p w:rsidR="00CA6EDB" w:rsidRPr="003E3455" w:rsidRDefault="00CA6EDB" w:rsidP="00CA6EDB">
      <w:pPr>
        <w:spacing w:after="0" w:line="240" w:lineRule="auto"/>
        <w:jc w:val="both"/>
        <w:rPr>
          <w:b/>
          <w:sz w:val="24"/>
          <w:szCs w:val="24"/>
          <w:u w:val="single"/>
        </w:rPr>
      </w:pPr>
      <w:r w:rsidRPr="003E3455">
        <w:rPr>
          <w:b/>
          <w:sz w:val="24"/>
          <w:szCs w:val="24"/>
          <w:u w:val="single"/>
        </w:rPr>
        <w:t>Year O</w:t>
      </w:r>
      <w:r w:rsidR="00F215BF">
        <w:rPr>
          <w:b/>
          <w:sz w:val="24"/>
          <w:szCs w:val="24"/>
          <w:u w:val="single"/>
        </w:rPr>
        <w:t>ne Phonics Screening Result 2015</w:t>
      </w:r>
    </w:p>
    <w:p w:rsidR="00CA6EDB" w:rsidRPr="002E775F" w:rsidRDefault="00CA6EDB" w:rsidP="00CA6EDB">
      <w:pPr>
        <w:spacing w:after="0" w:line="240" w:lineRule="auto"/>
        <w:jc w:val="both"/>
        <w:rPr>
          <w:sz w:val="20"/>
          <w:szCs w:val="20"/>
        </w:rPr>
      </w:pPr>
    </w:p>
    <w:tbl>
      <w:tblPr>
        <w:tblStyle w:val="TableGrid"/>
        <w:tblW w:w="10598" w:type="dxa"/>
        <w:tblLayout w:type="fixed"/>
        <w:tblLook w:val="04A0" w:firstRow="1" w:lastRow="0" w:firstColumn="1" w:lastColumn="0" w:noHBand="0" w:noVBand="1"/>
      </w:tblPr>
      <w:tblGrid>
        <w:gridCol w:w="1299"/>
        <w:gridCol w:w="1244"/>
        <w:gridCol w:w="1109"/>
        <w:gridCol w:w="1276"/>
        <w:gridCol w:w="992"/>
        <w:gridCol w:w="1276"/>
        <w:gridCol w:w="1134"/>
        <w:gridCol w:w="1134"/>
        <w:gridCol w:w="1134"/>
      </w:tblGrid>
      <w:tr w:rsidR="002E775F" w:rsidRPr="002E775F" w:rsidTr="002E775F">
        <w:tc>
          <w:tcPr>
            <w:tcW w:w="1299" w:type="dxa"/>
          </w:tcPr>
          <w:p w:rsidR="002E775F" w:rsidRPr="0001451D" w:rsidRDefault="002E775F" w:rsidP="00D71D5C">
            <w:pPr>
              <w:jc w:val="center"/>
              <w:rPr>
                <w:szCs w:val="20"/>
              </w:rPr>
            </w:pPr>
            <w:r w:rsidRPr="0001451D">
              <w:rPr>
                <w:szCs w:val="20"/>
              </w:rPr>
              <w:t>Year One</w:t>
            </w:r>
          </w:p>
        </w:tc>
        <w:tc>
          <w:tcPr>
            <w:tcW w:w="1244" w:type="dxa"/>
          </w:tcPr>
          <w:p w:rsidR="002E775F" w:rsidRPr="0001451D" w:rsidRDefault="002E775F" w:rsidP="00D71D5C">
            <w:pPr>
              <w:jc w:val="center"/>
              <w:rPr>
                <w:szCs w:val="20"/>
              </w:rPr>
            </w:pPr>
            <w:r w:rsidRPr="0001451D">
              <w:rPr>
                <w:szCs w:val="20"/>
              </w:rPr>
              <w:t>Park Grove 2013</w:t>
            </w:r>
          </w:p>
        </w:tc>
        <w:tc>
          <w:tcPr>
            <w:tcW w:w="1109" w:type="dxa"/>
          </w:tcPr>
          <w:p w:rsidR="002E775F" w:rsidRPr="0001451D" w:rsidRDefault="002E775F" w:rsidP="00D71D5C">
            <w:pPr>
              <w:jc w:val="center"/>
              <w:rPr>
                <w:szCs w:val="20"/>
              </w:rPr>
            </w:pPr>
            <w:r w:rsidRPr="0001451D">
              <w:rPr>
                <w:szCs w:val="20"/>
              </w:rPr>
              <w:t>National 2013</w:t>
            </w:r>
          </w:p>
        </w:tc>
        <w:tc>
          <w:tcPr>
            <w:tcW w:w="1276" w:type="dxa"/>
          </w:tcPr>
          <w:p w:rsidR="002E775F" w:rsidRPr="0001451D" w:rsidRDefault="002E775F" w:rsidP="00D71D5C">
            <w:pPr>
              <w:jc w:val="center"/>
              <w:rPr>
                <w:szCs w:val="20"/>
              </w:rPr>
            </w:pPr>
            <w:r w:rsidRPr="0001451D">
              <w:rPr>
                <w:szCs w:val="20"/>
              </w:rPr>
              <w:t>Park Grove 2014</w:t>
            </w:r>
          </w:p>
        </w:tc>
        <w:tc>
          <w:tcPr>
            <w:tcW w:w="992" w:type="dxa"/>
          </w:tcPr>
          <w:p w:rsidR="002E775F" w:rsidRPr="0001451D" w:rsidRDefault="002E775F" w:rsidP="00D71D5C">
            <w:pPr>
              <w:jc w:val="center"/>
              <w:rPr>
                <w:szCs w:val="20"/>
              </w:rPr>
            </w:pPr>
            <w:r w:rsidRPr="0001451D">
              <w:rPr>
                <w:szCs w:val="20"/>
              </w:rPr>
              <w:t>National 2014</w:t>
            </w:r>
          </w:p>
        </w:tc>
        <w:tc>
          <w:tcPr>
            <w:tcW w:w="1276" w:type="dxa"/>
          </w:tcPr>
          <w:p w:rsidR="002E775F" w:rsidRPr="0001451D" w:rsidRDefault="002E775F" w:rsidP="00D71D5C">
            <w:pPr>
              <w:jc w:val="center"/>
              <w:rPr>
                <w:szCs w:val="20"/>
              </w:rPr>
            </w:pPr>
            <w:r w:rsidRPr="0001451D">
              <w:rPr>
                <w:szCs w:val="20"/>
              </w:rPr>
              <w:t>Park Grove 2015</w:t>
            </w:r>
          </w:p>
        </w:tc>
        <w:tc>
          <w:tcPr>
            <w:tcW w:w="1134" w:type="dxa"/>
          </w:tcPr>
          <w:p w:rsidR="002E775F" w:rsidRPr="0001451D" w:rsidRDefault="002E775F" w:rsidP="00D71D5C">
            <w:pPr>
              <w:jc w:val="center"/>
              <w:rPr>
                <w:szCs w:val="20"/>
              </w:rPr>
            </w:pPr>
            <w:r w:rsidRPr="0001451D">
              <w:rPr>
                <w:szCs w:val="20"/>
              </w:rPr>
              <w:t>National 2015</w:t>
            </w:r>
          </w:p>
        </w:tc>
        <w:tc>
          <w:tcPr>
            <w:tcW w:w="1134" w:type="dxa"/>
          </w:tcPr>
          <w:p w:rsidR="002E775F" w:rsidRPr="0001451D" w:rsidRDefault="002E775F" w:rsidP="00D71D5C">
            <w:pPr>
              <w:jc w:val="center"/>
              <w:rPr>
                <w:szCs w:val="20"/>
              </w:rPr>
            </w:pPr>
            <w:r w:rsidRPr="0001451D">
              <w:rPr>
                <w:szCs w:val="20"/>
              </w:rPr>
              <w:t>Park Grove 2016</w:t>
            </w:r>
          </w:p>
        </w:tc>
        <w:tc>
          <w:tcPr>
            <w:tcW w:w="1134" w:type="dxa"/>
          </w:tcPr>
          <w:p w:rsidR="002E775F" w:rsidRPr="0001451D" w:rsidRDefault="002E775F" w:rsidP="00D71D5C">
            <w:pPr>
              <w:jc w:val="center"/>
              <w:rPr>
                <w:szCs w:val="20"/>
              </w:rPr>
            </w:pPr>
            <w:r w:rsidRPr="0001451D">
              <w:rPr>
                <w:szCs w:val="20"/>
              </w:rPr>
              <w:t>National 2016</w:t>
            </w:r>
          </w:p>
        </w:tc>
      </w:tr>
      <w:tr w:rsidR="002E775F" w:rsidRPr="002E775F" w:rsidTr="002E775F">
        <w:tc>
          <w:tcPr>
            <w:tcW w:w="1299" w:type="dxa"/>
          </w:tcPr>
          <w:p w:rsidR="002E775F" w:rsidRPr="0001451D" w:rsidRDefault="002E775F" w:rsidP="00D71D5C">
            <w:pPr>
              <w:jc w:val="center"/>
              <w:rPr>
                <w:szCs w:val="20"/>
              </w:rPr>
            </w:pPr>
            <w:r w:rsidRPr="0001451D">
              <w:rPr>
                <w:szCs w:val="20"/>
              </w:rPr>
              <w:t>Phonics Screening Check</w:t>
            </w:r>
          </w:p>
        </w:tc>
        <w:tc>
          <w:tcPr>
            <w:tcW w:w="1244"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44%</w:t>
            </w:r>
          </w:p>
        </w:tc>
        <w:tc>
          <w:tcPr>
            <w:tcW w:w="1109"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69%</w:t>
            </w:r>
          </w:p>
        </w:tc>
        <w:tc>
          <w:tcPr>
            <w:tcW w:w="1276"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69%</w:t>
            </w:r>
          </w:p>
        </w:tc>
        <w:tc>
          <w:tcPr>
            <w:tcW w:w="992"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74%</w:t>
            </w:r>
          </w:p>
        </w:tc>
        <w:tc>
          <w:tcPr>
            <w:tcW w:w="1276"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54%</w:t>
            </w:r>
          </w:p>
        </w:tc>
        <w:tc>
          <w:tcPr>
            <w:tcW w:w="1134" w:type="dxa"/>
          </w:tcPr>
          <w:p w:rsidR="002E775F" w:rsidRPr="0001451D" w:rsidRDefault="002E775F" w:rsidP="00D71D5C">
            <w:pPr>
              <w:jc w:val="center"/>
              <w:rPr>
                <w:szCs w:val="20"/>
              </w:rPr>
            </w:pPr>
          </w:p>
          <w:p w:rsidR="002E775F" w:rsidRPr="0001451D" w:rsidRDefault="002E775F" w:rsidP="00D71D5C">
            <w:pPr>
              <w:jc w:val="center"/>
              <w:rPr>
                <w:szCs w:val="20"/>
              </w:rPr>
            </w:pPr>
            <w:r w:rsidRPr="0001451D">
              <w:rPr>
                <w:szCs w:val="20"/>
              </w:rPr>
              <w:t>77%</w:t>
            </w:r>
          </w:p>
        </w:tc>
        <w:tc>
          <w:tcPr>
            <w:tcW w:w="1134" w:type="dxa"/>
          </w:tcPr>
          <w:p w:rsidR="002E775F" w:rsidRPr="0001451D" w:rsidRDefault="002E775F" w:rsidP="00D71D5C">
            <w:pPr>
              <w:jc w:val="center"/>
              <w:rPr>
                <w:szCs w:val="20"/>
              </w:rPr>
            </w:pPr>
          </w:p>
          <w:p w:rsidR="002E775F" w:rsidRPr="0001451D" w:rsidRDefault="002E775F" w:rsidP="002E7317">
            <w:pPr>
              <w:jc w:val="center"/>
              <w:rPr>
                <w:szCs w:val="20"/>
              </w:rPr>
            </w:pPr>
            <w:r w:rsidRPr="0001451D">
              <w:rPr>
                <w:szCs w:val="20"/>
              </w:rPr>
              <w:t>8</w:t>
            </w:r>
            <w:r w:rsidR="00A9121D">
              <w:rPr>
                <w:szCs w:val="20"/>
              </w:rPr>
              <w:t>5</w:t>
            </w:r>
            <w:r w:rsidRPr="0001451D">
              <w:rPr>
                <w:szCs w:val="20"/>
              </w:rPr>
              <w:t>%</w:t>
            </w:r>
          </w:p>
        </w:tc>
        <w:tc>
          <w:tcPr>
            <w:tcW w:w="1134" w:type="dxa"/>
          </w:tcPr>
          <w:p w:rsidR="002E775F" w:rsidRPr="0001451D" w:rsidRDefault="002E775F" w:rsidP="00D71D5C">
            <w:pPr>
              <w:jc w:val="center"/>
              <w:rPr>
                <w:szCs w:val="20"/>
              </w:rPr>
            </w:pPr>
          </w:p>
          <w:p w:rsidR="002E7317" w:rsidRPr="0001451D" w:rsidRDefault="00D21303" w:rsidP="00D71D5C">
            <w:pPr>
              <w:jc w:val="center"/>
              <w:rPr>
                <w:szCs w:val="20"/>
              </w:rPr>
            </w:pPr>
            <w:r>
              <w:rPr>
                <w:szCs w:val="20"/>
              </w:rPr>
              <w:t>81%</w:t>
            </w:r>
            <w:bookmarkStart w:id="0" w:name="_GoBack"/>
            <w:bookmarkEnd w:id="0"/>
          </w:p>
        </w:tc>
      </w:tr>
    </w:tbl>
    <w:p w:rsidR="00617E3C" w:rsidRDefault="00617E3C" w:rsidP="00CA6EDB">
      <w:pPr>
        <w:spacing w:after="0" w:line="240" w:lineRule="auto"/>
        <w:jc w:val="both"/>
        <w:rPr>
          <w:b/>
          <w:sz w:val="24"/>
          <w:szCs w:val="24"/>
          <w:u w:val="single"/>
        </w:rPr>
      </w:pPr>
    </w:p>
    <w:p w:rsidR="00617E3C" w:rsidRDefault="00617E3C" w:rsidP="00CA6EDB">
      <w:pPr>
        <w:spacing w:after="0" w:line="240" w:lineRule="auto"/>
        <w:jc w:val="both"/>
        <w:rPr>
          <w:b/>
          <w:sz w:val="24"/>
          <w:szCs w:val="24"/>
          <w:u w:val="single"/>
        </w:rPr>
      </w:pPr>
    </w:p>
    <w:p w:rsidR="008C2900" w:rsidRDefault="008C2900" w:rsidP="00CA6EDB">
      <w:pPr>
        <w:spacing w:after="0" w:line="240" w:lineRule="auto"/>
        <w:jc w:val="both"/>
        <w:rPr>
          <w:b/>
          <w:sz w:val="24"/>
          <w:szCs w:val="24"/>
          <w:u w:val="single"/>
        </w:rPr>
      </w:pPr>
    </w:p>
    <w:p w:rsidR="008C2900" w:rsidRDefault="008C2900" w:rsidP="00CA6EDB">
      <w:pPr>
        <w:spacing w:after="0" w:line="240" w:lineRule="auto"/>
        <w:jc w:val="both"/>
        <w:rPr>
          <w:b/>
          <w:sz w:val="24"/>
          <w:szCs w:val="24"/>
          <w:u w:val="single"/>
        </w:rPr>
      </w:pPr>
    </w:p>
    <w:p w:rsidR="00CA6EDB" w:rsidRDefault="00CA6EDB" w:rsidP="00CA6EDB">
      <w:pPr>
        <w:spacing w:after="0" w:line="240" w:lineRule="auto"/>
        <w:jc w:val="both"/>
        <w:rPr>
          <w:b/>
          <w:sz w:val="24"/>
          <w:szCs w:val="24"/>
          <w:u w:val="single"/>
        </w:rPr>
      </w:pPr>
      <w:r w:rsidRPr="009576C2">
        <w:rPr>
          <w:b/>
          <w:sz w:val="24"/>
          <w:szCs w:val="24"/>
          <w:u w:val="single"/>
        </w:rPr>
        <w:t>Key Stage One (KS1)</w:t>
      </w:r>
    </w:p>
    <w:p w:rsidR="002E7317" w:rsidRDefault="002E7317" w:rsidP="00CA6EDB">
      <w:pPr>
        <w:spacing w:after="0" w:line="240" w:lineRule="auto"/>
        <w:jc w:val="both"/>
        <w:rPr>
          <w:b/>
          <w:sz w:val="24"/>
          <w:szCs w:val="24"/>
          <w:u w:val="single"/>
        </w:rPr>
      </w:pPr>
    </w:p>
    <w:p w:rsidR="002E7317" w:rsidRPr="008C2900" w:rsidRDefault="002E7317" w:rsidP="00CA6EDB">
      <w:pPr>
        <w:spacing w:after="0" w:line="240" w:lineRule="auto"/>
        <w:jc w:val="both"/>
        <w:rPr>
          <w:sz w:val="24"/>
          <w:szCs w:val="24"/>
        </w:rPr>
      </w:pPr>
      <w:r w:rsidRPr="008C2900">
        <w:rPr>
          <w:sz w:val="24"/>
          <w:szCs w:val="24"/>
        </w:rPr>
        <w:t>In 2016</w:t>
      </w:r>
      <w:r w:rsidR="008C2900">
        <w:rPr>
          <w:sz w:val="24"/>
          <w:szCs w:val="24"/>
        </w:rPr>
        <w:t>,</w:t>
      </w:r>
      <w:r w:rsidRPr="008C2900">
        <w:rPr>
          <w:sz w:val="24"/>
          <w:szCs w:val="24"/>
        </w:rPr>
        <w:t xml:space="preserve"> Ch</w:t>
      </w:r>
      <w:r w:rsidR="006974AB" w:rsidRPr="008C2900">
        <w:rPr>
          <w:sz w:val="24"/>
          <w:szCs w:val="24"/>
        </w:rPr>
        <w:t>ildren at the end of Key Stage 1</w:t>
      </w:r>
      <w:r w:rsidRPr="008C2900">
        <w:rPr>
          <w:sz w:val="24"/>
          <w:szCs w:val="24"/>
        </w:rPr>
        <w:t xml:space="preserve"> (Year 2) were assessed using a new assessment framework. </w:t>
      </w:r>
      <w:r w:rsidR="006974AB" w:rsidRPr="008C2900">
        <w:rPr>
          <w:sz w:val="24"/>
          <w:szCs w:val="24"/>
        </w:rPr>
        <w:t>This</w:t>
      </w:r>
      <w:r w:rsidRPr="008C2900">
        <w:rPr>
          <w:sz w:val="24"/>
          <w:szCs w:val="24"/>
        </w:rPr>
        <w:t xml:space="preserve"> is based on</w:t>
      </w:r>
      <w:r w:rsidR="006974AB" w:rsidRPr="008C2900">
        <w:rPr>
          <w:sz w:val="24"/>
          <w:szCs w:val="24"/>
        </w:rPr>
        <w:t xml:space="preserve"> Teacher Assessment evidence, </w:t>
      </w:r>
      <w:r w:rsidRPr="008C2900">
        <w:rPr>
          <w:sz w:val="24"/>
          <w:szCs w:val="24"/>
        </w:rPr>
        <w:t xml:space="preserve">which tests in Mathematics and Reading form part of. </w:t>
      </w:r>
      <w:r w:rsidR="006974AB" w:rsidRPr="008C2900">
        <w:rPr>
          <w:sz w:val="24"/>
          <w:szCs w:val="24"/>
        </w:rPr>
        <w:t>The framework is new</w:t>
      </w:r>
      <w:r w:rsidR="008C2900">
        <w:rPr>
          <w:sz w:val="24"/>
          <w:szCs w:val="24"/>
        </w:rPr>
        <w:t>,</w:t>
      </w:r>
      <w:r w:rsidR="006974AB" w:rsidRPr="008C2900">
        <w:rPr>
          <w:sz w:val="24"/>
          <w:szCs w:val="24"/>
        </w:rPr>
        <w:t xml:space="preserve"> so</w:t>
      </w:r>
      <w:r w:rsidR="008C2900">
        <w:rPr>
          <w:sz w:val="24"/>
          <w:szCs w:val="24"/>
        </w:rPr>
        <w:t xml:space="preserve"> </w:t>
      </w:r>
      <w:r w:rsidR="006974AB" w:rsidRPr="008C2900">
        <w:rPr>
          <w:sz w:val="24"/>
          <w:szCs w:val="24"/>
        </w:rPr>
        <w:t xml:space="preserve">because of this </w:t>
      </w:r>
      <w:r w:rsidR="008C2900">
        <w:rPr>
          <w:sz w:val="24"/>
          <w:szCs w:val="24"/>
        </w:rPr>
        <w:t>cannot be compared</w:t>
      </w:r>
      <w:r w:rsidRPr="008C2900">
        <w:rPr>
          <w:sz w:val="24"/>
          <w:szCs w:val="24"/>
        </w:rPr>
        <w:t xml:space="preserve"> with previous results.</w:t>
      </w:r>
    </w:p>
    <w:p w:rsidR="00CA6EDB" w:rsidRPr="008C2900" w:rsidRDefault="00CA6EDB" w:rsidP="00CA6EDB">
      <w:pPr>
        <w:spacing w:after="0" w:line="240" w:lineRule="auto"/>
        <w:jc w:val="both"/>
        <w:rPr>
          <w:sz w:val="24"/>
          <w:szCs w:val="24"/>
          <w:u w:val="single"/>
        </w:rPr>
      </w:pPr>
    </w:p>
    <w:p w:rsidR="002E7317" w:rsidRDefault="002E7317" w:rsidP="00CA6EDB">
      <w:pPr>
        <w:spacing w:after="0" w:line="240" w:lineRule="auto"/>
        <w:jc w:val="both"/>
        <w:rPr>
          <w:sz w:val="24"/>
          <w:szCs w:val="24"/>
          <w:u w:val="single"/>
        </w:rPr>
      </w:pPr>
    </w:p>
    <w:tbl>
      <w:tblPr>
        <w:tblStyle w:val="TableGrid"/>
        <w:tblW w:w="7222" w:type="dxa"/>
        <w:jc w:val="center"/>
        <w:tblInd w:w="-2416" w:type="dxa"/>
        <w:tblLook w:val="04A0" w:firstRow="1" w:lastRow="0" w:firstColumn="1" w:lastColumn="0" w:noHBand="0" w:noVBand="1"/>
      </w:tblPr>
      <w:tblGrid>
        <w:gridCol w:w="4516"/>
        <w:gridCol w:w="1353"/>
        <w:gridCol w:w="1353"/>
      </w:tblGrid>
      <w:tr w:rsidR="006974AB" w:rsidRPr="002E7317" w:rsidTr="006974AB">
        <w:trPr>
          <w:jc w:val="center"/>
        </w:trPr>
        <w:tc>
          <w:tcPr>
            <w:tcW w:w="4516" w:type="dxa"/>
            <w:tcBorders>
              <w:bottom w:val="single" w:sz="4" w:space="0" w:color="auto"/>
            </w:tcBorders>
            <w:shd w:val="clear" w:color="auto" w:fill="D9D9D9" w:themeFill="background1" w:themeFillShade="D9"/>
            <w:vAlign w:val="center"/>
          </w:tcPr>
          <w:p w:rsidR="006974AB" w:rsidRPr="0001451D" w:rsidRDefault="006974AB" w:rsidP="00C27368">
            <w:pPr>
              <w:jc w:val="center"/>
              <w:rPr>
                <w:rFonts w:ascii="Tahoma" w:hAnsi="Tahoma" w:cs="Tahoma"/>
                <w:szCs w:val="20"/>
              </w:rPr>
            </w:pPr>
            <w:r w:rsidRPr="0001451D">
              <w:rPr>
                <w:rFonts w:ascii="Tahoma" w:hAnsi="Tahoma" w:cs="Tahoma"/>
                <w:szCs w:val="20"/>
              </w:rPr>
              <w:t>READING</w:t>
            </w:r>
          </w:p>
        </w:tc>
        <w:tc>
          <w:tcPr>
            <w:tcW w:w="1353" w:type="dxa"/>
            <w:shd w:val="clear" w:color="auto" w:fill="D9D9D9" w:themeFill="background1" w:themeFillShade="D9"/>
            <w:vAlign w:val="center"/>
          </w:tcPr>
          <w:p w:rsidR="006974AB" w:rsidRPr="0001451D" w:rsidRDefault="006974AB" w:rsidP="00C27368">
            <w:pPr>
              <w:jc w:val="center"/>
              <w:rPr>
                <w:rFonts w:cs="Tahoma"/>
                <w:szCs w:val="20"/>
              </w:rPr>
            </w:pPr>
            <w:r w:rsidRPr="0001451D">
              <w:rPr>
                <w:rFonts w:cs="Tahoma"/>
                <w:szCs w:val="20"/>
              </w:rPr>
              <w:t>2016</w:t>
            </w:r>
          </w:p>
          <w:p w:rsidR="006974AB" w:rsidRPr="0001451D" w:rsidRDefault="006974AB" w:rsidP="00C27368">
            <w:pPr>
              <w:jc w:val="center"/>
              <w:rPr>
                <w:rFonts w:ascii="Tahoma" w:hAnsi="Tahoma" w:cs="Tahoma"/>
                <w:szCs w:val="20"/>
              </w:rPr>
            </w:pPr>
            <w:r w:rsidRPr="0001451D">
              <w:rPr>
                <w:rFonts w:cs="Tahoma"/>
                <w:szCs w:val="20"/>
              </w:rPr>
              <w:t>Park Grove Results</w:t>
            </w:r>
          </w:p>
        </w:tc>
        <w:tc>
          <w:tcPr>
            <w:tcW w:w="1353" w:type="dxa"/>
            <w:shd w:val="clear" w:color="auto" w:fill="D9D9D9" w:themeFill="background1" w:themeFillShade="D9"/>
          </w:tcPr>
          <w:p w:rsidR="006974AB" w:rsidRPr="0001451D" w:rsidRDefault="006974AB" w:rsidP="006974AB">
            <w:pPr>
              <w:jc w:val="center"/>
              <w:rPr>
                <w:rFonts w:cs="Tahoma"/>
                <w:szCs w:val="20"/>
              </w:rPr>
            </w:pPr>
            <w:r w:rsidRPr="0001451D">
              <w:rPr>
                <w:rFonts w:cs="Tahoma"/>
                <w:szCs w:val="20"/>
              </w:rPr>
              <w:t xml:space="preserve">2016 National Results </w:t>
            </w:r>
          </w:p>
        </w:tc>
      </w:tr>
      <w:tr w:rsidR="006974AB" w:rsidRPr="002E7317" w:rsidTr="006974AB">
        <w:trPr>
          <w:jc w:val="center"/>
        </w:trPr>
        <w:tc>
          <w:tcPr>
            <w:tcW w:w="4516" w:type="dxa"/>
            <w:shd w:val="clear" w:color="auto" w:fill="D9D9D9" w:themeFill="background1" w:themeFillShade="D9"/>
            <w:vAlign w:val="center"/>
          </w:tcPr>
          <w:p w:rsidR="006974AB" w:rsidRPr="0001451D" w:rsidRDefault="006974AB" w:rsidP="00C27368">
            <w:pPr>
              <w:jc w:val="center"/>
              <w:rPr>
                <w:rFonts w:cs="Tahoma"/>
                <w:szCs w:val="20"/>
              </w:rPr>
            </w:pPr>
            <w:r w:rsidRPr="0001451D">
              <w:rPr>
                <w:rFonts w:cs="Tahoma"/>
                <w:szCs w:val="20"/>
              </w:rPr>
              <w:t xml:space="preserve">Meeting National Expectation </w:t>
            </w:r>
          </w:p>
          <w:p w:rsidR="006974AB" w:rsidRPr="0001451D" w:rsidRDefault="006974AB" w:rsidP="002E7317">
            <w:pPr>
              <w:jc w:val="center"/>
              <w:rPr>
                <w:rFonts w:ascii="Tahoma" w:hAnsi="Tahoma" w:cs="Tahoma"/>
                <w:szCs w:val="20"/>
              </w:rPr>
            </w:pPr>
            <w:r w:rsidRPr="0001451D">
              <w:rPr>
                <w:rFonts w:cs="Tahoma"/>
                <w:szCs w:val="20"/>
              </w:rPr>
              <w:t xml:space="preserve"> </w:t>
            </w:r>
          </w:p>
        </w:tc>
        <w:tc>
          <w:tcPr>
            <w:tcW w:w="1353" w:type="dxa"/>
            <w:vAlign w:val="center"/>
          </w:tcPr>
          <w:p w:rsidR="006974AB" w:rsidRPr="0001451D" w:rsidRDefault="006974AB" w:rsidP="00C27368">
            <w:pPr>
              <w:jc w:val="center"/>
              <w:rPr>
                <w:rFonts w:ascii="Tahoma" w:hAnsi="Tahoma" w:cs="Tahoma"/>
                <w:szCs w:val="20"/>
              </w:rPr>
            </w:pPr>
            <w:r w:rsidRPr="0001451D">
              <w:rPr>
                <w:rFonts w:ascii="Tahoma" w:hAnsi="Tahoma" w:cs="Tahoma"/>
                <w:szCs w:val="20"/>
              </w:rPr>
              <w:t>74%</w:t>
            </w:r>
          </w:p>
        </w:tc>
        <w:tc>
          <w:tcPr>
            <w:tcW w:w="1353" w:type="dxa"/>
          </w:tcPr>
          <w:p w:rsidR="006974AB" w:rsidRPr="0001451D" w:rsidRDefault="006974AB" w:rsidP="00C27368">
            <w:pPr>
              <w:jc w:val="center"/>
              <w:rPr>
                <w:rFonts w:ascii="Tahoma" w:hAnsi="Tahoma" w:cs="Tahoma"/>
                <w:szCs w:val="20"/>
              </w:rPr>
            </w:pPr>
            <w:r w:rsidRPr="0001451D">
              <w:rPr>
                <w:rFonts w:ascii="Tahoma" w:hAnsi="Tahoma" w:cs="Tahoma"/>
                <w:szCs w:val="20"/>
              </w:rPr>
              <w:t>TBC</w:t>
            </w:r>
          </w:p>
        </w:tc>
      </w:tr>
      <w:tr w:rsidR="006974AB" w:rsidRPr="002E7317" w:rsidTr="006974AB">
        <w:trPr>
          <w:jc w:val="center"/>
        </w:trPr>
        <w:tc>
          <w:tcPr>
            <w:tcW w:w="4516" w:type="dxa"/>
            <w:shd w:val="clear" w:color="auto" w:fill="D9D9D9" w:themeFill="background1" w:themeFillShade="D9"/>
            <w:vAlign w:val="center"/>
          </w:tcPr>
          <w:p w:rsidR="006974AB" w:rsidRPr="0001451D" w:rsidRDefault="006974AB" w:rsidP="002E7317">
            <w:pPr>
              <w:jc w:val="center"/>
              <w:rPr>
                <w:rFonts w:cs="Tahoma"/>
                <w:szCs w:val="20"/>
              </w:rPr>
            </w:pPr>
            <w:r w:rsidRPr="0001451D">
              <w:rPr>
                <w:rFonts w:cs="Tahoma"/>
                <w:szCs w:val="20"/>
              </w:rPr>
              <w:t>Working at Greater depth</w:t>
            </w:r>
          </w:p>
          <w:p w:rsidR="006974AB" w:rsidRPr="0001451D" w:rsidRDefault="006974AB" w:rsidP="002E7317">
            <w:pPr>
              <w:jc w:val="center"/>
              <w:rPr>
                <w:rFonts w:ascii="Tahoma" w:hAnsi="Tahoma" w:cs="Tahoma"/>
                <w:szCs w:val="20"/>
              </w:rPr>
            </w:pPr>
            <w:r w:rsidRPr="0001451D">
              <w:rPr>
                <w:rFonts w:cs="Tahoma"/>
                <w:szCs w:val="20"/>
              </w:rPr>
              <w:t xml:space="preserve"> </w:t>
            </w:r>
          </w:p>
        </w:tc>
        <w:tc>
          <w:tcPr>
            <w:tcW w:w="1353" w:type="dxa"/>
            <w:vAlign w:val="center"/>
          </w:tcPr>
          <w:p w:rsidR="006974AB" w:rsidRPr="0001451D" w:rsidRDefault="006974AB" w:rsidP="00C27368">
            <w:pPr>
              <w:jc w:val="center"/>
              <w:rPr>
                <w:rFonts w:ascii="Tahoma" w:hAnsi="Tahoma" w:cs="Tahoma"/>
                <w:szCs w:val="20"/>
              </w:rPr>
            </w:pPr>
            <w:r w:rsidRPr="0001451D">
              <w:rPr>
                <w:rFonts w:ascii="Tahoma" w:hAnsi="Tahoma" w:cs="Tahoma"/>
                <w:szCs w:val="20"/>
              </w:rPr>
              <w:t>33%</w:t>
            </w:r>
          </w:p>
        </w:tc>
        <w:tc>
          <w:tcPr>
            <w:tcW w:w="1353" w:type="dxa"/>
          </w:tcPr>
          <w:p w:rsidR="006974AB" w:rsidRPr="0001451D" w:rsidRDefault="006974AB" w:rsidP="00C27368">
            <w:pPr>
              <w:jc w:val="center"/>
              <w:rPr>
                <w:rFonts w:ascii="Tahoma" w:hAnsi="Tahoma" w:cs="Tahoma"/>
                <w:szCs w:val="20"/>
              </w:rPr>
            </w:pPr>
            <w:r w:rsidRPr="0001451D">
              <w:rPr>
                <w:rFonts w:ascii="Tahoma" w:hAnsi="Tahoma" w:cs="Tahoma"/>
                <w:szCs w:val="20"/>
              </w:rPr>
              <w:t>TBC</w:t>
            </w:r>
          </w:p>
        </w:tc>
      </w:tr>
      <w:tr w:rsidR="006974AB" w:rsidRPr="002E7317" w:rsidTr="006974AB">
        <w:trPr>
          <w:jc w:val="center"/>
        </w:trPr>
        <w:tc>
          <w:tcPr>
            <w:tcW w:w="4516" w:type="dxa"/>
            <w:tcBorders>
              <w:bottom w:val="single" w:sz="4" w:space="0" w:color="auto"/>
            </w:tcBorders>
            <w:shd w:val="clear" w:color="auto" w:fill="D9D9D9" w:themeFill="background1" w:themeFillShade="D9"/>
            <w:vAlign w:val="center"/>
          </w:tcPr>
          <w:p w:rsidR="006974AB" w:rsidRPr="0001451D" w:rsidRDefault="006974AB" w:rsidP="00C27368">
            <w:pPr>
              <w:jc w:val="center"/>
              <w:rPr>
                <w:rFonts w:ascii="Tahoma" w:hAnsi="Tahoma" w:cs="Tahoma"/>
                <w:szCs w:val="20"/>
              </w:rPr>
            </w:pPr>
            <w:r w:rsidRPr="0001451D">
              <w:rPr>
                <w:rFonts w:ascii="Tahoma" w:hAnsi="Tahoma" w:cs="Tahoma"/>
                <w:szCs w:val="20"/>
              </w:rPr>
              <w:t>WRITING</w:t>
            </w:r>
          </w:p>
        </w:tc>
        <w:tc>
          <w:tcPr>
            <w:tcW w:w="1353" w:type="dxa"/>
            <w:shd w:val="clear" w:color="auto" w:fill="D9D9D9" w:themeFill="background1" w:themeFillShade="D9"/>
            <w:vAlign w:val="center"/>
          </w:tcPr>
          <w:p w:rsidR="006974AB" w:rsidRPr="0001451D" w:rsidRDefault="006974AB" w:rsidP="00C27368">
            <w:pPr>
              <w:jc w:val="center"/>
              <w:rPr>
                <w:rFonts w:ascii="Tahoma" w:hAnsi="Tahoma" w:cs="Tahoma"/>
                <w:szCs w:val="20"/>
              </w:rPr>
            </w:pPr>
            <w:r w:rsidRPr="0001451D">
              <w:rPr>
                <w:rFonts w:cs="Tahoma"/>
                <w:szCs w:val="20"/>
              </w:rPr>
              <w:t>2016</w:t>
            </w:r>
          </w:p>
        </w:tc>
        <w:tc>
          <w:tcPr>
            <w:tcW w:w="1353" w:type="dxa"/>
            <w:shd w:val="clear" w:color="auto" w:fill="D9D9D9" w:themeFill="background1" w:themeFillShade="D9"/>
          </w:tcPr>
          <w:p w:rsidR="006974AB" w:rsidRPr="0001451D" w:rsidRDefault="006974AB" w:rsidP="00C27368">
            <w:pPr>
              <w:jc w:val="center"/>
              <w:rPr>
                <w:rFonts w:cs="Tahoma"/>
                <w:szCs w:val="20"/>
              </w:rPr>
            </w:pPr>
          </w:p>
        </w:tc>
      </w:tr>
      <w:tr w:rsidR="006974AB" w:rsidRPr="002E7317" w:rsidTr="006974AB">
        <w:trPr>
          <w:jc w:val="center"/>
        </w:trPr>
        <w:tc>
          <w:tcPr>
            <w:tcW w:w="4516" w:type="dxa"/>
            <w:shd w:val="clear" w:color="auto" w:fill="D9D9D9" w:themeFill="background1" w:themeFillShade="D9"/>
            <w:vAlign w:val="center"/>
          </w:tcPr>
          <w:p w:rsidR="006974AB" w:rsidRPr="0001451D" w:rsidRDefault="006974AB" w:rsidP="00C27368">
            <w:pPr>
              <w:jc w:val="center"/>
              <w:rPr>
                <w:rFonts w:cs="Tahoma"/>
                <w:szCs w:val="20"/>
              </w:rPr>
            </w:pPr>
            <w:r w:rsidRPr="0001451D">
              <w:rPr>
                <w:rFonts w:cs="Tahoma"/>
                <w:szCs w:val="20"/>
              </w:rPr>
              <w:t xml:space="preserve">Meeting National Expectation </w:t>
            </w:r>
          </w:p>
          <w:p w:rsidR="006974AB" w:rsidRPr="0001451D" w:rsidRDefault="006974AB" w:rsidP="00C27368">
            <w:pPr>
              <w:jc w:val="center"/>
              <w:rPr>
                <w:rFonts w:ascii="Tahoma" w:hAnsi="Tahoma" w:cs="Tahoma"/>
                <w:szCs w:val="20"/>
              </w:rPr>
            </w:pPr>
            <w:r w:rsidRPr="0001451D">
              <w:rPr>
                <w:rFonts w:cs="Tahoma"/>
                <w:szCs w:val="20"/>
              </w:rPr>
              <w:t xml:space="preserve"> </w:t>
            </w:r>
          </w:p>
        </w:tc>
        <w:tc>
          <w:tcPr>
            <w:tcW w:w="1353" w:type="dxa"/>
            <w:vAlign w:val="center"/>
          </w:tcPr>
          <w:p w:rsidR="006974AB" w:rsidRPr="0001451D" w:rsidRDefault="006974AB" w:rsidP="00C27368">
            <w:pPr>
              <w:jc w:val="center"/>
              <w:rPr>
                <w:rFonts w:ascii="Tahoma" w:hAnsi="Tahoma" w:cs="Tahoma"/>
                <w:szCs w:val="20"/>
              </w:rPr>
            </w:pPr>
            <w:r w:rsidRPr="0001451D">
              <w:rPr>
                <w:rFonts w:ascii="Tahoma" w:hAnsi="Tahoma" w:cs="Tahoma"/>
                <w:szCs w:val="20"/>
              </w:rPr>
              <w:t>69%</w:t>
            </w:r>
          </w:p>
        </w:tc>
        <w:tc>
          <w:tcPr>
            <w:tcW w:w="1353" w:type="dxa"/>
          </w:tcPr>
          <w:p w:rsidR="006974AB" w:rsidRPr="0001451D" w:rsidRDefault="006974AB" w:rsidP="00C27368">
            <w:pPr>
              <w:jc w:val="center"/>
              <w:rPr>
                <w:rFonts w:ascii="Tahoma" w:hAnsi="Tahoma" w:cs="Tahoma"/>
                <w:szCs w:val="20"/>
              </w:rPr>
            </w:pPr>
            <w:r w:rsidRPr="0001451D">
              <w:rPr>
                <w:rFonts w:ascii="Tahoma" w:hAnsi="Tahoma" w:cs="Tahoma"/>
                <w:szCs w:val="20"/>
              </w:rPr>
              <w:t>TBC</w:t>
            </w:r>
          </w:p>
        </w:tc>
      </w:tr>
      <w:tr w:rsidR="006974AB" w:rsidRPr="002E7317" w:rsidTr="006974AB">
        <w:trPr>
          <w:jc w:val="center"/>
        </w:trPr>
        <w:tc>
          <w:tcPr>
            <w:tcW w:w="4516" w:type="dxa"/>
            <w:shd w:val="clear" w:color="auto" w:fill="D9D9D9" w:themeFill="background1" w:themeFillShade="D9"/>
            <w:vAlign w:val="center"/>
          </w:tcPr>
          <w:p w:rsidR="006974AB" w:rsidRPr="0001451D" w:rsidRDefault="006974AB" w:rsidP="00C27368">
            <w:pPr>
              <w:jc w:val="center"/>
              <w:rPr>
                <w:rFonts w:cs="Tahoma"/>
                <w:szCs w:val="20"/>
              </w:rPr>
            </w:pPr>
            <w:r w:rsidRPr="0001451D">
              <w:rPr>
                <w:rFonts w:cs="Tahoma"/>
                <w:szCs w:val="20"/>
              </w:rPr>
              <w:t>Working at Greater depth</w:t>
            </w:r>
          </w:p>
          <w:p w:rsidR="006974AB" w:rsidRPr="0001451D" w:rsidRDefault="006974AB" w:rsidP="00C27368">
            <w:pPr>
              <w:jc w:val="center"/>
              <w:rPr>
                <w:rFonts w:ascii="Tahoma" w:hAnsi="Tahoma" w:cs="Tahoma"/>
                <w:szCs w:val="20"/>
              </w:rPr>
            </w:pPr>
            <w:r w:rsidRPr="0001451D">
              <w:rPr>
                <w:rFonts w:cs="Tahoma"/>
                <w:szCs w:val="20"/>
              </w:rPr>
              <w:t xml:space="preserve"> </w:t>
            </w:r>
          </w:p>
        </w:tc>
        <w:tc>
          <w:tcPr>
            <w:tcW w:w="1353" w:type="dxa"/>
            <w:vAlign w:val="center"/>
          </w:tcPr>
          <w:p w:rsidR="006974AB" w:rsidRPr="0001451D" w:rsidRDefault="006974AB" w:rsidP="00C27368">
            <w:pPr>
              <w:jc w:val="center"/>
              <w:rPr>
                <w:rFonts w:ascii="Tahoma" w:hAnsi="Tahoma" w:cs="Tahoma"/>
                <w:szCs w:val="20"/>
              </w:rPr>
            </w:pPr>
            <w:r w:rsidRPr="0001451D">
              <w:rPr>
                <w:rFonts w:ascii="Tahoma" w:hAnsi="Tahoma" w:cs="Tahoma"/>
                <w:szCs w:val="20"/>
              </w:rPr>
              <w:t>17%</w:t>
            </w:r>
          </w:p>
        </w:tc>
        <w:tc>
          <w:tcPr>
            <w:tcW w:w="1353" w:type="dxa"/>
          </w:tcPr>
          <w:p w:rsidR="006974AB" w:rsidRPr="0001451D" w:rsidRDefault="006974AB" w:rsidP="00C27368">
            <w:pPr>
              <w:jc w:val="center"/>
              <w:rPr>
                <w:rFonts w:ascii="Tahoma" w:hAnsi="Tahoma" w:cs="Tahoma"/>
                <w:szCs w:val="20"/>
              </w:rPr>
            </w:pPr>
            <w:r w:rsidRPr="0001451D">
              <w:rPr>
                <w:rFonts w:ascii="Tahoma" w:hAnsi="Tahoma" w:cs="Tahoma"/>
                <w:szCs w:val="20"/>
              </w:rPr>
              <w:t>TBC</w:t>
            </w:r>
          </w:p>
        </w:tc>
      </w:tr>
      <w:tr w:rsidR="006974AB" w:rsidRPr="002E7317" w:rsidTr="006974AB">
        <w:trPr>
          <w:jc w:val="center"/>
        </w:trPr>
        <w:tc>
          <w:tcPr>
            <w:tcW w:w="4516" w:type="dxa"/>
            <w:tcBorders>
              <w:bottom w:val="single" w:sz="4" w:space="0" w:color="auto"/>
            </w:tcBorders>
            <w:shd w:val="clear" w:color="auto" w:fill="D9D9D9" w:themeFill="background1" w:themeFillShade="D9"/>
            <w:vAlign w:val="center"/>
          </w:tcPr>
          <w:p w:rsidR="006974AB" w:rsidRPr="0001451D" w:rsidRDefault="006974AB" w:rsidP="00C27368">
            <w:pPr>
              <w:jc w:val="center"/>
              <w:rPr>
                <w:rFonts w:ascii="Tahoma" w:hAnsi="Tahoma" w:cs="Tahoma"/>
                <w:szCs w:val="20"/>
              </w:rPr>
            </w:pPr>
            <w:r w:rsidRPr="0001451D">
              <w:rPr>
                <w:rFonts w:ascii="Tahoma" w:hAnsi="Tahoma" w:cs="Tahoma"/>
                <w:szCs w:val="20"/>
              </w:rPr>
              <w:t>MATHEMATICS</w:t>
            </w:r>
          </w:p>
        </w:tc>
        <w:tc>
          <w:tcPr>
            <w:tcW w:w="1353" w:type="dxa"/>
            <w:shd w:val="clear" w:color="auto" w:fill="D9D9D9" w:themeFill="background1" w:themeFillShade="D9"/>
            <w:vAlign w:val="center"/>
          </w:tcPr>
          <w:p w:rsidR="006974AB" w:rsidRPr="0001451D" w:rsidRDefault="006974AB" w:rsidP="00C27368">
            <w:pPr>
              <w:jc w:val="center"/>
              <w:rPr>
                <w:rFonts w:ascii="Tahoma" w:hAnsi="Tahoma" w:cs="Tahoma"/>
                <w:szCs w:val="20"/>
              </w:rPr>
            </w:pPr>
            <w:r w:rsidRPr="0001451D">
              <w:rPr>
                <w:rFonts w:cs="Tahoma"/>
                <w:szCs w:val="20"/>
              </w:rPr>
              <w:t>2016</w:t>
            </w:r>
          </w:p>
        </w:tc>
        <w:tc>
          <w:tcPr>
            <w:tcW w:w="1353" w:type="dxa"/>
            <w:shd w:val="clear" w:color="auto" w:fill="D9D9D9" w:themeFill="background1" w:themeFillShade="D9"/>
          </w:tcPr>
          <w:p w:rsidR="006974AB" w:rsidRPr="0001451D" w:rsidRDefault="006974AB" w:rsidP="00C27368">
            <w:pPr>
              <w:jc w:val="center"/>
              <w:rPr>
                <w:rFonts w:cs="Tahoma"/>
                <w:szCs w:val="20"/>
              </w:rPr>
            </w:pPr>
          </w:p>
        </w:tc>
      </w:tr>
      <w:tr w:rsidR="006974AB" w:rsidRPr="002E7317" w:rsidTr="006974AB">
        <w:trPr>
          <w:jc w:val="center"/>
        </w:trPr>
        <w:tc>
          <w:tcPr>
            <w:tcW w:w="4516" w:type="dxa"/>
            <w:shd w:val="clear" w:color="auto" w:fill="D9D9D9" w:themeFill="background1" w:themeFillShade="D9"/>
            <w:vAlign w:val="center"/>
          </w:tcPr>
          <w:p w:rsidR="006974AB" w:rsidRPr="0001451D" w:rsidRDefault="006974AB" w:rsidP="00C27368">
            <w:pPr>
              <w:jc w:val="center"/>
              <w:rPr>
                <w:rFonts w:cs="Tahoma"/>
                <w:szCs w:val="20"/>
              </w:rPr>
            </w:pPr>
            <w:r w:rsidRPr="0001451D">
              <w:rPr>
                <w:rFonts w:cs="Tahoma"/>
                <w:szCs w:val="20"/>
              </w:rPr>
              <w:t xml:space="preserve">Meeting National Expectation </w:t>
            </w:r>
          </w:p>
          <w:p w:rsidR="006974AB" w:rsidRPr="0001451D" w:rsidRDefault="006974AB" w:rsidP="00C27368">
            <w:pPr>
              <w:jc w:val="center"/>
              <w:rPr>
                <w:rFonts w:ascii="Tahoma" w:hAnsi="Tahoma" w:cs="Tahoma"/>
                <w:szCs w:val="20"/>
              </w:rPr>
            </w:pPr>
            <w:r w:rsidRPr="0001451D">
              <w:rPr>
                <w:rFonts w:cs="Tahoma"/>
                <w:szCs w:val="20"/>
              </w:rPr>
              <w:t xml:space="preserve"> </w:t>
            </w:r>
          </w:p>
        </w:tc>
        <w:tc>
          <w:tcPr>
            <w:tcW w:w="1353" w:type="dxa"/>
            <w:vAlign w:val="center"/>
          </w:tcPr>
          <w:p w:rsidR="006974AB" w:rsidRPr="0001451D" w:rsidRDefault="006974AB" w:rsidP="00C27368">
            <w:pPr>
              <w:jc w:val="center"/>
              <w:rPr>
                <w:rFonts w:ascii="Tahoma" w:hAnsi="Tahoma" w:cs="Tahoma"/>
                <w:szCs w:val="20"/>
              </w:rPr>
            </w:pPr>
            <w:r w:rsidRPr="0001451D">
              <w:rPr>
                <w:rFonts w:ascii="Tahoma" w:hAnsi="Tahoma" w:cs="Tahoma"/>
                <w:szCs w:val="20"/>
              </w:rPr>
              <w:t>69%</w:t>
            </w:r>
          </w:p>
        </w:tc>
        <w:tc>
          <w:tcPr>
            <w:tcW w:w="1353" w:type="dxa"/>
          </w:tcPr>
          <w:p w:rsidR="006974AB" w:rsidRPr="0001451D" w:rsidRDefault="006974AB" w:rsidP="00C27368">
            <w:pPr>
              <w:jc w:val="center"/>
              <w:rPr>
                <w:rFonts w:ascii="Tahoma" w:hAnsi="Tahoma" w:cs="Tahoma"/>
                <w:szCs w:val="20"/>
              </w:rPr>
            </w:pPr>
            <w:r w:rsidRPr="0001451D">
              <w:rPr>
                <w:rFonts w:ascii="Tahoma" w:hAnsi="Tahoma" w:cs="Tahoma"/>
                <w:szCs w:val="20"/>
              </w:rPr>
              <w:t>TBC</w:t>
            </w:r>
          </w:p>
        </w:tc>
      </w:tr>
      <w:tr w:rsidR="006974AB" w:rsidRPr="002E7317" w:rsidTr="006974AB">
        <w:trPr>
          <w:jc w:val="center"/>
        </w:trPr>
        <w:tc>
          <w:tcPr>
            <w:tcW w:w="4516" w:type="dxa"/>
            <w:shd w:val="clear" w:color="auto" w:fill="D9D9D9" w:themeFill="background1" w:themeFillShade="D9"/>
            <w:vAlign w:val="center"/>
          </w:tcPr>
          <w:p w:rsidR="006974AB" w:rsidRPr="0001451D" w:rsidRDefault="006974AB" w:rsidP="00C27368">
            <w:pPr>
              <w:jc w:val="center"/>
              <w:rPr>
                <w:rFonts w:cs="Tahoma"/>
                <w:szCs w:val="20"/>
              </w:rPr>
            </w:pPr>
            <w:r w:rsidRPr="0001451D">
              <w:rPr>
                <w:rFonts w:cs="Tahoma"/>
                <w:szCs w:val="20"/>
              </w:rPr>
              <w:t>Working at Greater depth</w:t>
            </w:r>
          </w:p>
          <w:p w:rsidR="006974AB" w:rsidRPr="0001451D" w:rsidRDefault="006974AB" w:rsidP="00C27368">
            <w:pPr>
              <w:jc w:val="center"/>
              <w:rPr>
                <w:rFonts w:ascii="Tahoma" w:hAnsi="Tahoma" w:cs="Tahoma"/>
                <w:szCs w:val="20"/>
              </w:rPr>
            </w:pPr>
            <w:r w:rsidRPr="0001451D">
              <w:rPr>
                <w:rFonts w:cs="Tahoma"/>
                <w:szCs w:val="20"/>
              </w:rPr>
              <w:t xml:space="preserve"> </w:t>
            </w:r>
          </w:p>
        </w:tc>
        <w:tc>
          <w:tcPr>
            <w:tcW w:w="1353" w:type="dxa"/>
            <w:vAlign w:val="center"/>
          </w:tcPr>
          <w:p w:rsidR="006974AB" w:rsidRPr="0001451D" w:rsidRDefault="006974AB" w:rsidP="00C27368">
            <w:pPr>
              <w:jc w:val="center"/>
              <w:rPr>
                <w:rFonts w:ascii="Tahoma" w:hAnsi="Tahoma" w:cs="Tahoma"/>
                <w:szCs w:val="20"/>
              </w:rPr>
            </w:pPr>
            <w:r w:rsidRPr="0001451D">
              <w:rPr>
                <w:rFonts w:ascii="Tahoma" w:hAnsi="Tahoma" w:cs="Tahoma"/>
                <w:szCs w:val="20"/>
              </w:rPr>
              <w:t>33%</w:t>
            </w:r>
          </w:p>
        </w:tc>
        <w:tc>
          <w:tcPr>
            <w:tcW w:w="1353" w:type="dxa"/>
          </w:tcPr>
          <w:p w:rsidR="006974AB" w:rsidRPr="0001451D" w:rsidRDefault="006974AB" w:rsidP="00C27368">
            <w:pPr>
              <w:jc w:val="center"/>
              <w:rPr>
                <w:rFonts w:ascii="Tahoma" w:hAnsi="Tahoma" w:cs="Tahoma"/>
                <w:szCs w:val="20"/>
              </w:rPr>
            </w:pPr>
            <w:r w:rsidRPr="0001451D">
              <w:rPr>
                <w:rFonts w:ascii="Tahoma" w:hAnsi="Tahoma" w:cs="Tahoma"/>
                <w:szCs w:val="20"/>
              </w:rPr>
              <w:t>TBC</w:t>
            </w:r>
          </w:p>
        </w:tc>
      </w:tr>
    </w:tbl>
    <w:p w:rsidR="002E775F" w:rsidRDefault="002E775F" w:rsidP="00CA6EDB">
      <w:pPr>
        <w:spacing w:after="0" w:line="240" w:lineRule="auto"/>
        <w:jc w:val="both"/>
        <w:rPr>
          <w:sz w:val="24"/>
          <w:szCs w:val="24"/>
        </w:rPr>
      </w:pPr>
    </w:p>
    <w:p w:rsidR="002E775F" w:rsidRDefault="002E775F" w:rsidP="00CA6EDB">
      <w:pPr>
        <w:spacing w:after="0" w:line="240" w:lineRule="auto"/>
        <w:jc w:val="both"/>
        <w:rPr>
          <w:sz w:val="24"/>
          <w:szCs w:val="24"/>
        </w:rPr>
      </w:pPr>
    </w:p>
    <w:p w:rsidR="00F7310A" w:rsidRPr="009576C2" w:rsidRDefault="00F7310A" w:rsidP="00CA6EDB">
      <w:pPr>
        <w:spacing w:after="0" w:line="240" w:lineRule="auto"/>
        <w:jc w:val="both"/>
        <w:rPr>
          <w:b/>
          <w:sz w:val="24"/>
          <w:szCs w:val="24"/>
          <w:u w:val="single"/>
        </w:rPr>
      </w:pPr>
      <w:r w:rsidRPr="009576C2">
        <w:rPr>
          <w:b/>
          <w:sz w:val="24"/>
          <w:szCs w:val="24"/>
          <w:u w:val="single"/>
        </w:rPr>
        <w:t>Key Stage Two (KS2)</w:t>
      </w:r>
    </w:p>
    <w:p w:rsidR="00F7310A" w:rsidRDefault="00F7310A" w:rsidP="00CA6EDB">
      <w:pPr>
        <w:spacing w:after="0" w:line="240" w:lineRule="auto"/>
        <w:jc w:val="both"/>
        <w:rPr>
          <w:sz w:val="24"/>
          <w:szCs w:val="24"/>
          <w:u w:val="single"/>
        </w:rPr>
      </w:pPr>
    </w:p>
    <w:p w:rsidR="008B66C2" w:rsidRDefault="00F7310A" w:rsidP="00CA6EDB">
      <w:pPr>
        <w:spacing w:after="0" w:line="240" w:lineRule="auto"/>
        <w:jc w:val="both"/>
        <w:rPr>
          <w:sz w:val="24"/>
          <w:szCs w:val="24"/>
        </w:rPr>
      </w:pPr>
      <w:r>
        <w:rPr>
          <w:sz w:val="24"/>
          <w:szCs w:val="24"/>
        </w:rPr>
        <w:t xml:space="preserve">When children reach the end of Year Six, they are assessed using KS2 Statutory Tests and Teacher </w:t>
      </w:r>
      <w:r w:rsidR="008B66C2">
        <w:rPr>
          <w:sz w:val="24"/>
          <w:szCs w:val="24"/>
        </w:rPr>
        <w:t xml:space="preserve">Assessments. </w:t>
      </w:r>
      <w:r>
        <w:rPr>
          <w:sz w:val="24"/>
          <w:szCs w:val="24"/>
        </w:rPr>
        <w:t xml:space="preserve">These assessments demonstrate the progress that the children have made during their time at primary school.  </w:t>
      </w:r>
      <w:r w:rsidR="008B66C2">
        <w:rPr>
          <w:sz w:val="24"/>
          <w:szCs w:val="24"/>
        </w:rPr>
        <w:t>Tests are taken for Reading, Maths and Grammar, Punctuation and Spelling (GPS). Writing is assessed using Teacher Assessment only.</w:t>
      </w:r>
    </w:p>
    <w:p w:rsidR="008B66C2" w:rsidRDefault="008B66C2" w:rsidP="00CA6EDB">
      <w:pPr>
        <w:spacing w:after="0" w:line="240" w:lineRule="auto"/>
        <w:jc w:val="both"/>
        <w:rPr>
          <w:sz w:val="24"/>
          <w:szCs w:val="24"/>
        </w:rPr>
      </w:pPr>
    </w:p>
    <w:tbl>
      <w:tblPr>
        <w:tblStyle w:val="TableGrid"/>
        <w:tblpPr w:leftFromText="180" w:rightFromText="180" w:vertAnchor="page" w:horzAnchor="margin" w:tblpY="11026"/>
        <w:tblW w:w="0" w:type="auto"/>
        <w:tblLayout w:type="fixed"/>
        <w:tblLook w:val="04A0" w:firstRow="1" w:lastRow="0" w:firstColumn="1" w:lastColumn="0" w:noHBand="0" w:noVBand="1"/>
      </w:tblPr>
      <w:tblGrid>
        <w:gridCol w:w="2093"/>
        <w:gridCol w:w="1394"/>
        <w:gridCol w:w="1157"/>
        <w:gridCol w:w="1843"/>
        <w:gridCol w:w="1134"/>
        <w:gridCol w:w="992"/>
        <w:gridCol w:w="1134"/>
      </w:tblGrid>
      <w:tr w:rsidR="008B66C2" w:rsidRPr="00326E36" w:rsidTr="0001451D">
        <w:tc>
          <w:tcPr>
            <w:tcW w:w="2093" w:type="dxa"/>
            <w:shd w:val="clear" w:color="auto" w:fill="D9D9D9" w:themeFill="background1" w:themeFillShade="D9"/>
          </w:tcPr>
          <w:p w:rsidR="008B66C2" w:rsidRPr="0001451D" w:rsidRDefault="008B66C2" w:rsidP="008B66C2">
            <w:pPr>
              <w:rPr>
                <w:b/>
                <w:szCs w:val="20"/>
              </w:rPr>
            </w:pPr>
          </w:p>
        </w:tc>
        <w:tc>
          <w:tcPr>
            <w:tcW w:w="1394" w:type="dxa"/>
            <w:shd w:val="clear" w:color="auto" w:fill="auto"/>
          </w:tcPr>
          <w:p w:rsidR="008B66C2" w:rsidRPr="0001451D" w:rsidRDefault="008B66C2" w:rsidP="008B66C2">
            <w:pPr>
              <w:rPr>
                <w:b/>
                <w:szCs w:val="20"/>
              </w:rPr>
            </w:pPr>
            <w:r w:rsidRPr="0001451D">
              <w:rPr>
                <w:b/>
                <w:szCs w:val="20"/>
              </w:rPr>
              <w:t xml:space="preserve">Met Expected standard or above % </w:t>
            </w:r>
          </w:p>
          <w:p w:rsidR="008B66C2" w:rsidRPr="0001451D" w:rsidRDefault="008B66C2" w:rsidP="008B66C2">
            <w:pPr>
              <w:rPr>
                <w:b/>
                <w:szCs w:val="20"/>
              </w:rPr>
            </w:pPr>
            <w:r w:rsidRPr="0001451D">
              <w:rPr>
                <w:b/>
                <w:szCs w:val="20"/>
              </w:rPr>
              <w:t xml:space="preserve">Teacher Assessment </w:t>
            </w:r>
          </w:p>
        </w:tc>
        <w:tc>
          <w:tcPr>
            <w:tcW w:w="1157" w:type="dxa"/>
            <w:shd w:val="clear" w:color="auto" w:fill="auto"/>
          </w:tcPr>
          <w:p w:rsidR="008B66C2" w:rsidRPr="0001451D" w:rsidRDefault="008B66C2" w:rsidP="008B66C2">
            <w:pPr>
              <w:rPr>
                <w:b/>
                <w:szCs w:val="20"/>
              </w:rPr>
            </w:pPr>
            <w:r w:rsidRPr="0001451D">
              <w:rPr>
                <w:b/>
                <w:szCs w:val="20"/>
              </w:rPr>
              <w:t xml:space="preserve">Met Expected standard or above % </w:t>
            </w:r>
          </w:p>
          <w:p w:rsidR="008B66C2" w:rsidRPr="0001451D" w:rsidRDefault="008B66C2" w:rsidP="008B66C2">
            <w:pPr>
              <w:rPr>
                <w:b/>
                <w:szCs w:val="20"/>
              </w:rPr>
            </w:pPr>
            <w:r w:rsidRPr="0001451D">
              <w:rPr>
                <w:b/>
                <w:szCs w:val="20"/>
              </w:rPr>
              <w:t>Test</w:t>
            </w:r>
          </w:p>
        </w:tc>
        <w:tc>
          <w:tcPr>
            <w:tcW w:w="1843" w:type="dxa"/>
            <w:shd w:val="clear" w:color="auto" w:fill="FFFFFF" w:themeFill="background1"/>
          </w:tcPr>
          <w:p w:rsidR="008B66C2" w:rsidRPr="0001451D" w:rsidRDefault="008B66C2" w:rsidP="008B66C2">
            <w:pPr>
              <w:rPr>
                <w:b/>
                <w:szCs w:val="20"/>
              </w:rPr>
            </w:pPr>
            <w:r w:rsidRPr="0001451D">
              <w:rPr>
                <w:b/>
                <w:szCs w:val="20"/>
              </w:rPr>
              <w:t>% Met</w:t>
            </w:r>
          </w:p>
          <w:p w:rsidR="008B66C2" w:rsidRPr="0001451D" w:rsidRDefault="008B66C2" w:rsidP="008B66C2">
            <w:pPr>
              <w:rPr>
                <w:b/>
                <w:szCs w:val="20"/>
              </w:rPr>
            </w:pPr>
            <w:r w:rsidRPr="0001451D">
              <w:rPr>
                <w:b/>
                <w:szCs w:val="20"/>
              </w:rPr>
              <w:t>National</w:t>
            </w:r>
          </w:p>
          <w:p w:rsidR="008B66C2" w:rsidRPr="0001451D" w:rsidRDefault="008B66C2" w:rsidP="008B66C2">
            <w:pPr>
              <w:rPr>
                <w:b/>
                <w:szCs w:val="20"/>
              </w:rPr>
            </w:pPr>
          </w:p>
          <w:p w:rsidR="00446952" w:rsidRPr="0001451D" w:rsidRDefault="008B66C2" w:rsidP="008B66C2">
            <w:pPr>
              <w:rPr>
                <w:b/>
                <w:szCs w:val="20"/>
              </w:rPr>
            </w:pPr>
            <w:r w:rsidRPr="0001451D">
              <w:rPr>
                <w:b/>
                <w:szCs w:val="20"/>
              </w:rPr>
              <w:t xml:space="preserve">(Test Reading, </w:t>
            </w:r>
            <w:r w:rsidR="00446952" w:rsidRPr="0001451D">
              <w:rPr>
                <w:b/>
                <w:szCs w:val="20"/>
              </w:rPr>
              <w:t xml:space="preserve">maths and </w:t>
            </w:r>
            <w:r w:rsidRPr="0001451D">
              <w:rPr>
                <w:b/>
                <w:szCs w:val="20"/>
              </w:rPr>
              <w:t xml:space="preserve"> GPS</w:t>
            </w:r>
            <w:r w:rsidR="00446952" w:rsidRPr="0001451D">
              <w:rPr>
                <w:b/>
                <w:szCs w:val="20"/>
              </w:rPr>
              <w:t>;</w:t>
            </w:r>
            <w:r w:rsidRPr="0001451D">
              <w:rPr>
                <w:b/>
                <w:szCs w:val="20"/>
              </w:rPr>
              <w:t xml:space="preserve"> </w:t>
            </w:r>
          </w:p>
          <w:p w:rsidR="008B66C2" w:rsidRPr="0001451D" w:rsidRDefault="008B66C2" w:rsidP="00446952">
            <w:pPr>
              <w:rPr>
                <w:b/>
                <w:szCs w:val="20"/>
              </w:rPr>
            </w:pPr>
            <w:r w:rsidRPr="0001451D">
              <w:rPr>
                <w:b/>
                <w:szCs w:val="20"/>
              </w:rPr>
              <w:t>TA writing)</w:t>
            </w:r>
          </w:p>
        </w:tc>
        <w:tc>
          <w:tcPr>
            <w:tcW w:w="1134" w:type="dxa"/>
          </w:tcPr>
          <w:p w:rsidR="008B66C2" w:rsidRPr="0001451D" w:rsidRDefault="008B66C2" w:rsidP="008B66C2">
            <w:pPr>
              <w:rPr>
                <w:b/>
                <w:szCs w:val="20"/>
              </w:rPr>
            </w:pPr>
            <w:r w:rsidRPr="0001451D">
              <w:rPr>
                <w:b/>
                <w:szCs w:val="20"/>
              </w:rPr>
              <w:t>Working at the Higher level</w:t>
            </w:r>
          </w:p>
          <w:p w:rsidR="008B66C2" w:rsidRPr="0001451D" w:rsidRDefault="008B66C2" w:rsidP="008B66C2">
            <w:pPr>
              <w:rPr>
                <w:szCs w:val="24"/>
              </w:rPr>
            </w:pPr>
            <w:r w:rsidRPr="0001451D">
              <w:rPr>
                <w:b/>
                <w:szCs w:val="20"/>
              </w:rPr>
              <w:t>%</w:t>
            </w:r>
          </w:p>
          <w:p w:rsidR="008B66C2" w:rsidRPr="0001451D" w:rsidRDefault="008B66C2" w:rsidP="008B66C2">
            <w:pPr>
              <w:rPr>
                <w:b/>
                <w:szCs w:val="20"/>
              </w:rPr>
            </w:pPr>
          </w:p>
        </w:tc>
        <w:tc>
          <w:tcPr>
            <w:tcW w:w="992" w:type="dxa"/>
            <w:shd w:val="clear" w:color="auto" w:fill="auto"/>
          </w:tcPr>
          <w:p w:rsidR="008B66C2" w:rsidRPr="0001451D" w:rsidRDefault="008B66C2" w:rsidP="008B66C2">
            <w:pPr>
              <w:rPr>
                <w:b/>
                <w:szCs w:val="20"/>
              </w:rPr>
            </w:pPr>
            <w:r w:rsidRPr="0001451D">
              <w:rPr>
                <w:b/>
                <w:szCs w:val="20"/>
              </w:rPr>
              <w:t>Average  Scaled Score</w:t>
            </w:r>
          </w:p>
        </w:tc>
        <w:tc>
          <w:tcPr>
            <w:tcW w:w="1134" w:type="dxa"/>
            <w:shd w:val="clear" w:color="auto" w:fill="auto"/>
          </w:tcPr>
          <w:p w:rsidR="008B66C2" w:rsidRPr="0001451D" w:rsidRDefault="008B66C2" w:rsidP="008B66C2">
            <w:pPr>
              <w:rPr>
                <w:b/>
                <w:szCs w:val="20"/>
              </w:rPr>
            </w:pPr>
            <w:r w:rsidRPr="0001451D">
              <w:rPr>
                <w:b/>
                <w:szCs w:val="20"/>
              </w:rPr>
              <w:t>National  Average</w:t>
            </w:r>
          </w:p>
          <w:p w:rsidR="008B66C2" w:rsidRPr="0001451D" w:rsidRDefault="008B66C2" w:rsidP="008B66C2">
            <w:pPr>
              <w:rPr>
                <w:b/>
                <w:szCs w:val="20"/>
              </w:rPr>
            </w:pPr>
            <w:r w:rsidRPr="0001451D">
              <w:rPr>
                <w:b/>
                <w:szCs w:val="20"/>
              </w:rPr>
              <w:t xml:space="preserve">Scaled Score </w:t>
            </w:r>
          </w:p>
        </w:tc>
      </w:tr>
      <w:tr w:rsidR="008B66C2" w:rsidRPr="00326E36" w:rsidTr="0001451D">
        <w:trPr>
          <w:trHeight w:val="53"/>
        </w:trPr>
        <w:tc>
          <w:tcPr>
            <w:tcW w:w="2093" w:type="dxa"/>
            <w:shd w:val="clear" w:color="auto" w:fill="D9D9D9" w:themeFill="background1" w:themeFillShade="D9"/>
          </w:tcPr>
          <w:p w:rsidR="008B66C2" w:rsidRPr="0001451D" w:rsidRDefault="008B66C2" w:rsidP="008B66C2">
            <w:pPr>
              <w:rPr>
                <w:b/>
                <w:szCs w:val="20"/>
              </w:rPr>
            </w:pPr>
            <w:r w:rsidRPr="0001451D">
              <w:rPr>
                <w:b/>
                <w:szCs w:val="20"/>
              </w:rPr>
              <w:t>Mathematics</w:t>
            </w:r>
          </w:p>
        </w:tc>
        <w:tc>
          <w:tcPr>
            <w:tcW w:w="1394" w:type="dxa"/>
            <w:shd w:val="clear" w:color="auto" w:fill="FFFFFF" w:themeFill="background1"/>
          </w:tcPr>
          <w:p w:rsidR="008B66C2" w:rsidRPr="0001451D" w:rsidRDefault="008B66C2" w:rsidP="008B66C2">
            <w:pPr>
              <w:rPr>
                <w:b/>
                <w:szCs w:val="20"/>
              </w:rPr>
            </w:pPr>
            <w:r w:rsidRPr="0001451D">
              <w:rPr>
                <w:b/>
                <w:szCs w:val="20"/>
              </w:rPr>
              <w:t>65%</w:t>
            </w:r>
          </w:p>
        </w:tc>
        <w:tc>
          <w:tcPr>
            <w:tcW w:w="1157" w:type="dxa"/>
            <w:shd w:val="clear" w:color="auto" w:fill="B6DDE8" w:themeFill="accent5" w:themeFillTint="66"/>
          </w:tcPr>
          <w:p w:rsidR="008B66C2" w:rsidRPr="0001451D" w:rsidRDefault="008B66C2" w:rsidP="008B66C2">
            <w:pPr>
              <w:rPr>
                <w:b/>
                <w:szCs w:val="20"/>
              </w:rPr>
            </w:pPr>
            <w:r w:rsidRPr="0001451D">
              <w:rPr>
                <w:b/>
                <w:szCs w:val="20"/>
              </w:rPr>
              <w:t>57%</w:t>
            </w:r>
          </w:p>
        </w:tc>
        <w:tc>
          <w:tcPr>
            <w:tcW w:w="1843" w:type="dxa"/>
            <w:shd w:val="clear" w:color="auto" w:fill="FFFFFF" w:themeFill="background1"/>
          </w:tcPr>
          <w:p w:rsidR="008B66C2" w:rsidRPr="0001451D" w:rsidRDefault="008B66C2" w:rsidP="008B66C2">
            <w:pPr>
              <w:rPr>
                <w:b/>
                <w:szCs w:val="20"/>
              </w:rPr>
            </w:pPr>
            <w:r w:rsidRPr="0001451D">
              <w:rPr>
                <w:b/>
                <w:szCs w:val="20"/>
              </w:rPr>
              <w:t>70%</w:t>
            </w:r>
          </w:p>
        </w:tc>
        <w:tc>
          <w:tcPr>
            <w:tcW w:w="1134" w:type="dxa"/>
          </w:tcPr>
          <w:p w:rsidR="008B66C2" w:rsidRPr="0001451D" w:rsidRDefault="008B66C2" w:rsidP="008B66C2">
            <w:pPr>
              <w:rPr>
                <w:b/>
                <w:szCs w:val="20"/>
              </w:rPr>
            </w:pPr>
            <w:r w:rsidRPr="0001451D">
              <w:rPr>
                <w:b/>
                <w:szCs w:val="20"/>
              </w:rPr>
              <w:t>20%</w:t>
            </w:r>
          </w:p>
        </w:tc>
        <w:tc>
          <w:tcPr>
            <w:tcW w:w="992" w:type="dxa"/>
            <w:shd w:val="clear" w:color="auto" w:fill="auto"/>
          </w:tcPr>
          <w:p w:rsidR="008B66C2" w:rsidRPr="0001451D" w:rsidRDefault="008B66C2" w:rsidP="008B66C2">
            <w:pPr>
              <w:rPr>
                <w:b/>
                <w:szCs w:val="20"/>
              </w:rPr>
            </w:pPr>
            <w:r w:rsidRPr="0001451D">
              <w:rPr>
                <w:b/>
                <w:szCs w:val="20"/>
              </w:rPr>
              <w:t>102</w:t>
            </w:r>
          </w:p>
        </w:tc>
        <w:tc>
          <w:tcPr>
            <w:tcW w:w="1134" w:type="dxa"/>
            <w:shd w:val="clear" w:color="auto" w:fill="auto"/>
          </w:tcPr>
          <w:p w:rsidR="008B66C2" w:rsidRPr="0001451D" w:rsidRDefault="008B66C2" w:rsidP="008B66C2">
            <w:pPr>
              <w:rPr>
                <w:b/>
                <w:szCs w:val="20"/>
              </w:rPr>
            </w:pPr>
            <w:r w:rsidRPr="0001451D">
              <w:rPr>
                <w:b/>
                <w:szCs w:val="20"/>
              </w:rPr>
              <w:t>103</w:t>
            </w:r>
          </w:p>
        </w:tc>
      </w:tr>
      <w:tr w:rsidR="008B66C2" w:rsidRPr="00326E36" w:rsidTr="0001451D">
        <w:tc>
          <w:tcPr>
            <w:tcW w:w="2093" w:type="dxa"/>
            <w:shd w:val="clear" w:color="auto" w:fill="D9D9D9" w:themeFill="background1" w:themeFillShade="D9"/>
          </w:tcPr>
          <w:p w:rsidR="008B66C2" w:rsidRPr="0001451D" w:rsidRDefault="008B66C2" w:rsidP="008B66C2">
            <w:pPr>
              <w:rPr>
                <w:b/>
                <w:szCs w:val="20"/>
              </w:rPr>
            </w:pPr>
            <w:r w:rsidRPr="0001451D">
              <w:rPr>
                <w:b/>
                <w:szCs w:val="20"/>
              </w:rPr>
              <w:t>Reading</w:t>
            </w:r>
          </w:p>
        </w:tc>
        <w:tc>
          <w:tcPr>
            <w:tcW w:w="1394" w:type="dxa"/>
            <w:shd w:val="clear" w:color="auto" w:fill="FFFFFF" w:themeFill="background1"/>
          </w:tcPr>
          <w:p w:rsidR="008B66C2" w:rsidRPr="0001451D" w:rsidRDefault="008B66C2" w:rsidP="008B66C2">
            <w:pPr>
              <w:rPr>
                <w:b/>
                <w:szCs w:val="20"/>
              </w:rPr>
            </w:pPr>
            <w:r w:rsidRPr="0001451D">
              <w:rPr>
                <w:b/>
                <w:szCs w:val="20"/>
              </w:rPr>
              <w:t>83%</w:t>
            </w:r>
          </w:p>
        </w:tc>
        <w:tc>
          <w:tcPr>
            <w:tcW w:w="1157" w:type="dxa"/>
            <w:shd w:val="clear" w:color="auto" w:fill="B6DDE8" w:themeFill="accent5" w:themeFillTint="66"/>
          </w:tcPr>
          <w:p w:rsidR="008B66C2" w:rsidRPr="0001451D" w:rsidRDefault="008B66C2" w:rsidP="008B66C2">
            <w:pPr>
              <w:rPr>
                <w:b/>
                <w:szCs w:val="20"/>
              </w:rPr>
            </w:pPr>
            <w:r w:rsidRPr="0001451D">
              <w:rPr>
                <w:b/>
                <w:szCs w:val="20"/>
              </w:rPr>
              <w:t>80%</w:t>
            </w:r>
          </w:p>
        </w:tc>
        <w:tc>
          <w:tcPr>
            <w:tcW w:w="1843" w:type="dxa"/>
            <w:shd w:val="clear" w:color="auto" w:fill="FFFFFF" w:themeFill="background1"/>
          </w:tcPr>
          <w:p w:rsidR="008B66C2" w:rsidRPr="0001451D" w:rsidRDefault="008B66C2" w:rsidP="008B66C2">
            <w:pPr>
              <w:rPr>
                <w:b/>
                <w:szCs w:val="20"/>
              </w:rPr>
            </w:pPr>
            <w:r w:rsidRPr="0001451D">
              <w:rPr>
                <w:b/>
                <w:szCs w:val="20"/>
              </w:rPr>
              <w:t>66%</w:t>
            </w:r>
          </w:p>
        </w:tc>
        <w:tc>
          <w:tcPr>
            <w:tcW w:w="1134" w:type="dxa"/>
          </w:tcPr>
          <w:p w:rsidR="008B66C2" w:rsidRPr="0001451D" w:rsidRDefault="008B66C2" w:rsidP="008B66C2">
            <w:pPr>
              <w:rPr>
                <w:b/>
                <w:szCs w:val="20"/>
              </w:rPr>
            </w:pPr>
            <w:r w:rsidRPr="0001451D">
              <w:rPr>
                <w:b/>
                <w:szCs w:val="20"/>
              </w:rPr>
              <w:t>24%</w:t>
            </w:r>
          </w:p>
        </w:tc>
        <w:tc>
          <w:tcPr>
            <w:tcW w:w="992" w:type="dxa"/>
            <w:shd w:val="clear" w:color="auto" w:fill="auto"/>
          </w:tcPr>
          <w:p w:rsidR="008B66C2" w:rsidRPr="0001451D" w:rsidRDefault="008B66C2" w:rsidP="008B66C2">
            <w:pPr>
              <w:rPr>
                <w:b/>
                <w:szCs w:val="20"/>
              </w:rPr>
            </w:pPr>
            <w:r w:rsidRPr="0001451D">
              <w:rPr>
                <w:b/>
                <w:szCs w:val="20"/>
              </w:rPr>
              <w:t>105</w:t>
            </w:r>
          </w:p>
        </w:tc>
        <w:tc>
          <w:tcPr>
            <w:tcW w:w="1134" w:type="dxa"/>
            <w:shd w:val="clear" w:color="auto" w:fill="auto"/>
          </w:tcPr>
          <w:p w:rsidR="008B66C2" w:rsidRPr="0001451D" w:rsidRDefault="008B66C2" w:rsidP="008B66C2">
            <w:pPr>
              <w:rPr>
                <w:b/>
                <w:szCs w:val="20"/>
              </w:rPr>
            </w:pPr>
            <w:r w:rsidRPr="0001451D">
              <w:rPr>
                <w:b/>
                <w:szCs w:val="20"/>
              </w:rPr>
              <w:t>103</w:t>
            </w:r>
          </w:p>
        </w:tc>
      </w:tr>
      <w:tr w:rsidR="008B66C2" w:rsidRPr="00326E36" w:rsidTr="0001451D">
        <w:tc>
          <w:tcPr>
            <w:tcW w:w="2093" w:type="dxa"/>
            <w:shd w:val="clear" w:color="auto" w:fill="D9D9D9" w:themeFill="background1" w:themeFillShade="D9"/>
          </w:tcPr>
          <w:p w:rsidR="008B66C2" w:rsidRPr="0001451D" w:rsidRDefault="008B66C2" w:rsidP="008B66C2">
            <w:pPr>
              <w:rPr>
                <w:b/>
                <w:szCs w:val="20"/>
              </w:rPr>
            </w:pPr>
            <w:r w:rsidRPr="0001451D">
              <w:rPr>
                <w:b/>
                <w:szCs w:val="20"/>
              </w:rPr>
              <w:t>Writing</w:t>
            </w:r>
          </w:p>
        </w:tc>
        <w:tc>
          <w:tcPr>
            <w:tcW w:w="1394" w:type="dxa"/>
            <w:shd w:val="clear" w:color="auto" w:fill="B6DDE8" w:themeFill="accent5" w:themeFillTint="66"/>
          </w:tcPr>
          <w:p w:rsidR="008B66C2" w:rsidRPr="0001451D" w:rsidRDefault="008B66C2" w:rsidP="008B66C2">
            <w:pPr>
              <w:rPr>
                <w:b/>
                <w:szCs w:val="20"/>
              </w:rPr>
            </w:pPr>
            <w:r w:rsidRPr="0001451D">
              <w:rPr>
                <w:b/>
                <w:szCs w:val="20"/>
              </w:rPr>
              <w:t>74%</w:t>
            </w:r>
          </w:p>
        </w:tc>
        <w:tc>
          <w:tcPr>
            <w:tcW w:w="1157" w:type="dxa"/>
            <w:shd w:val="clear" w:color="auto" w:fill="FFFFFF" w:themeFill="background1"/>
          </w:tcPr>
          <w:p w:rsidR="008B66C2" w:rsidRPr="0001451D" w:rsidRDefault="008B66C2" w:rsidP="008B66C2">
            <w:pPr>
              <w:rPr>
                <w:b/>
                <w:szCs w:val="20"/>
              </w:rPr>
            </w:pPr>
            <w:r w:rsidRPr="0001451D">
              <w:rPr>
                <w:b/>
                <w:szCs w:val="20"/>
              </w:rPr>
              <w:t>TA</w:t>
            </w:r>
          </w:p>
        </w:tc>
        <w:tc>
          <w:tcPr>
            <w:tcW w:w="1843" w:type="dxa"/>
            <w:shd w:val="clear" w:color="auto" w:fill="FFFFFF" w:themeFill="background1"/>
          </w:tcPr>
          <w:p w:rsidR="008B66C2" w:rsidRPr="0001451D" w:rsidRDefault="008B66C2" w:rsidP="008B66C2">
            <w:pPr>
              <w:rPr>
                <w:b/>
                <w:szCs w:val="20"/>
              </w:rPr>
            </w:pPr>
            <w:r w:rsidRPr="0001451D">
              <w:rPr>
                <w:b/>
                <w:szCs w:val="20"/>
              </w:rPr>
              <w:t>74%</w:t>
            </w:r>
          </w:p>
        </w:tc>
        <w:tc>
          <w:tcPr>
            <w:tcW w:w="1134" w:type="dxa"/>
          </w:tcPr>
          <w:p w:rsidR="008B66C2" w:rsidRPr="0001451D" w:rsidRDefault="008B66C2" w:rsidP="008B66C2">
            <w:pPr>
              <w:rPr>
                <w:b/>
                <w:szCs w:val="20"/>
              </w:rPr>
            </w:pPr>
            <w:r w:rsidRPr="0001451D">
              <w:rPr>
                <w:b/>
                <w:szCs w:val="20"/>
              </w:rPr>
              <w:t>11%</w:t>
            </w:r>
          </w:p>
        </w:tc>
        <w:tc>
          <w:tcPr>
            <w:tcW w:w="992" w:type="dxa"/>
            <w:shd w:val="clear" w:color="auto" w:fill="auto"/>
          </w:tcPr>
          <w:p w:rsidR="008B66C2" w:rsidRPr="0001451D" w:rsidRDefault="008B66C2" w:rsidP="008B66C2">
            <w:pPr>
              <w:rPr>
                <w:b/>
                <w:szCs w:val="20"/>
              </w:rPr>
            </w:pPr>
            <w:r w:rsidRPr="0001451D">
              <w:rPr>
                <w:b/>
                <w:szCs w:val="20"/>
              </w:rPr>
              <w:t>NA</w:t>
            </w:r>
          </w:p>
        </w:tc>
        <w:tc>
          <w:tcPr>
            <w:tcW w:w="1134" w:type="dxa"/>
            <w:shd w:val="clear" w:color="auto" w:fill="auto"/>
          </w:tcPr>
          <w:p w:rsidR="008B66C2" w:rsidRPr="0001451D" w:rsidRDefault="008B66C2" w:rsidP="008B66C2">
            <w:pPr>
              <w:rPr>
                <w:b/>
                <w:szCs w:val="20"/>
              </w:rPr>
            </w:pPr>
            <w:r w:rsidRPr="0001451D">
              <w:rPr>
                <w:b/>
                <w:szCs w:val="20"/>
              </w:rPr>
              <w:t>NA</w:t>
            </w:r>
          </w:p>
        </w:tc>
      </w:tr>
      <w:tr w:rsidR="008B66C2" w:rsidRPr="00326E36" w:rsidTr="0001451D">
        <w:tc>
          <w:tcPr>
            <w:tcW w:w="2093" w:type="dxa"/>
            <w:shd w:val="clear" w:color="auto" w:fill="D9D9D9" w:themeFill="background1" w:themeFillShade="D9"/>
          </w:tcPr>
          <w:p w:rsidR="008B66C2" w:rsidRPr="0001451D" w:rsidRDefault="00446952" w:rsidP="008B66C2">
            <w:pPr>
              <w:rPr>
                <w:b/>
                <w:szCs w:val="20"/>
              </w:rPr>
            </w:pPr>
            <w:r w:rsidRPr="0001451D">
              <w:rPr>
                <w:b/>
                <w:szCs w:val="20"/>
              </w:rPr>
              <w:t>Grammar, Punctuation and spelling</w:t>
            </w:r>
          </w:p>
        </w:tc>
        <w:tc>
          <w:tcPr>
            <w:tcW w:w="1394" w:type="dxa"/>
            <w:shd w:val="clear" w:color="auto" w:fill="FFFFFF" w:themeFill="background1"/>
          </w:tcPr>
          <w:p w:rsidR="008B66C2" w:rsidRPr="0001451D" w:rsidRDefault="008B66C2" w:rsidP="008B66C2">
            <w:pPr>
              <w:rPr>
                <w:b/>
                <w:szCs w:val="20"/>
              </w:rPr>
            </w:pPr>
            <w:r w:rsidRPr="0001451D">
              <w:rPr>
                <w:b/>
                <w:szCs w:val="20"/>
              </w:rPr>
              <w:t>NA</w:t>
            </w:r>
          </w:p>
        </w:tc>
        <w:tc>
          <w:tcPr>
            <w:tcW w:w="1157" w:type="dxa"/>
            <w:shd w:val="clear" w:color="auto" w:fill="B6DDE8" w:themeFill="accent5" w:themeFillTint="66"/>
          </w:tcPr>
          <w:p w:rsidR="008B66C2" w:rsidRPr="0001451D" w:rsidRDefault="008B66C2" w:rsidP="008B66C2">
            <w:pPr>
              <w:rPr>
                <w:b/>
                <w:szCs w:val="20"/>
              </w:rPr>
            </w:pPr>
            <w:r w:rsidRPr="0001451D">
              <w:rPr>
                <w:b/>
                <w:szCs w:val="20"/>
              </w:rPr>
              <w:t>70%</w:t>
            </w:r>
          </w:p>
        </w:tc>
        <w:tc>
          <w:tcPr>
            <w:tcW w:w="1843" w:type="dxa"/>
            <w:shd w:val="clear" w:color="auto" w:fill="FFFFFF" w:themeFill="background1"/>
          </w:tcPr>
          <w:p w:rsidR="008B66C2" w:rsidRPr="0001451D" w:rsidRDefault="008B66C2" w:rsidP="008B66C2">
            <w:pPr>
              <w:rPr>
                <w:b/>
                <w:szCs w:val="20"/>
              </w:rPr>
            </w:pPr>
            <w:r w:rsidRPr="0001451D">
              <w:rPr>
                <w:b/>
                <w:szCs w:val="20"/>
              </w:rPr>
              <w:t>72%</w:t>
            </w:r>
          </w:p>
        </w:tc>
        <w:tc>
          <w:tcPr>
            <w:tcW w:w="1134" w:type="dxa"/>
          </w:tcPr>
          <w:p w:rsidR="008B66C2" w:rsidRPr="0001451D" w:rsidRDefault="008B66C2" w:rsidP="008B66C2">
            <w:pPr>
              <w:rPr>
                <w:b/>
                <w:szCs w:val="20"/>
              </w:rPr>
            </w:pPr>
            <w:r w:rsidRPr="0001451D">
              <w:rPr>
                <w:b/>
                <w:szCs w:val="20"/>
              </w:rPr>
              <w:t>30%</w:t>
            </w:r>
          </w:p>
        </w:tc>
        <w:tc>
          <w:tcPr>
            <w:tcW w:w="992" w:type="dxa"/>
            <w:shd w:val="clear" w:color="auto" w:fill="auto"/>
          </w:tcPr>
          <w:p w:rsidR="008B66C2" w:rsidRPr="0001451D" w:rsidRDefault="008B66C2" w:rsidP="008B66C2">
            <w:pPr>
              <w:rPr>
                <w:b/>
                <w:szCs w:val="20"/>
              </w:rPr>
            </w:pPr>
            <w:r w:rsidRPr="0001451D">
              <w:rPr>
                <w:b/>
                <w:szCs w:val="20"/>
              </w:rPr>
              <w:t>105</w:t>
            </w:r>
          </w:p>
        </w:tc>
        <w:tc>
          <w:tcPr>
            <w:tcW w:w="1134" w:type="dxa"/>
            <w:shd w:val="clear" w:color="auto" w:fill="auto"/>
          </w:tcPr>
          <w:p w:rsidR="008B66C2" w:rsidRPr="0001451D" w:rsidRDefault="008B66C2" w:rsidP="008B66C2">
            <w:pPr>
              <w:rPr>
                <w:b/>
                <w:szCs w:val="20"/>
              </w:rPr>
            </w:pPr>
            <w:r w:rsidRPr="0001451D">
              <w:rPr>
                <w:b/>
                <w:szCs w:val="20"/>
              </w:rPr>
              <w:t>104</w:t>
            </w:r>
          </w:p>
        </w:tc>
      </w:tr>
      <w:tr w:rsidR="008B66C2" w:rsidRPr="00326E36" w:rsidTr="0001451D">
        <w:tc>
          <w:tcPr>
            <w:tcW w:w="2093" w:type="dxa"/>
            <w:shd w:val="clear" w:color="auto" w:fill="D9D9D9" w:themeFill="background1" w:themeFillShade="D9"/>
          </w:tcPr>
          <w:p w:rsidR="008B66C2" w:rsidRPr="0001451D" w:rsidRDefault="008B66C2" w:rsidP="008B66C2">
            <w:pPr>
              <w:rPr>
                <w:b/>
                <w:szCs w:val="20"/>
              </w:rPr>
            </w:pPr>
            <w:r w:rsidRPr="0001451D">
              <w:rPr>
                <w:b/>
                <w:szCs w:val="20"/>
              </w:rPr>
              <w:t>Reading, Writing and Mathematics</w:t>
            </w:r>
          </w:p>
        </w:tc>
        <w:tc>
          <w:tcPr>
            <w:tcW w:w="1394" w:type="dxa"/>
            <w:shd w:val="clear" w:color="auto" w:fill="FFFFFF" w:themeFill="background1"/>
          </w:tcPr>
          <w:p w:rsidR="008B66C2" w:rsidRPr="0001451D" w:rsidRDefault="008B66C2" w:rsidP="008B66C2">
            <w:pPr>
              <w:rPr>
                <w:b/>
                <w:szCs w:val="20"/>
              </w:rPr>
            </w:pPr>
            <w:r w:rsidRPr="0001451D">
              <w:rPr>
                <w:b/>
                <w:szCs w:val="20"/>
              </w:rPr>
              <w:t>NA</w:t>
            </w:r>
          </w:p>
        </w:tc>
        <w:tc>
          <w:tcPr>
            <w:tcW w:w="1157" w:type="dxa"/>
            <w:shd w:val="clear" w:color="auto" w:fill="B6DDE8" w:themeFill="accent5" w:themeFillTint="66"/>
          </w:tcPr>
          <w:p w:rsidR="008B66C2" w:rsidRPr="0001451D" w:rsidRDefault="008B66C2" w:rsidP="008B66C2">
            <w:pPr>
              <w:rPr>
                <w:b/>
                <w:szCs w:val="20"/>
              </w:rPr>
            </w:pPr>
            <w:r w:rsidRPr="0001451D">
              <w:rPr>
                <w:b/>
                <w:szCs w:val="20"/>
              </w:rPr>
              <w:t>50%</w:t>
            </w:r>
          </w:p>
        </w:tc>
        <w:tc>
          <w:tcPr>
            <w:tcW w:w="1843" w:type="dxa"/>
            <w:shd w:val="clear" w:color="auto" w:fill="FFFFFF" w:themeFill="background1"/>
          </w:tcPr>
          <w:p w:rsidR="008B66C2" w:rsidRPr="0001451D" w:rsidRDefault="008B66C2" w:rsidP="008B66C2">
            <w:pPr>
              <w:rPr>
                <w:b/>
                <w:szCs w:val="20"/>
              </w:rPr>
            </w:pPr>
            <w:r w:rsidRPr="0001451D">
              <w:rPr>
                <w:b/>
                <w:szCs w:val="20"/>
              </w:rPr>
              <w:t>53%</w:t>
            </w:r>
          </w:p>
        </w:tc>
        <w:tc>
          <w:tcPr>
            <w:tcW w:w="1134" w:type="dxa"/>
          </w:tcPr>
          <w:p w:rsidR="008B66C2" w:rsidRPr="0001451D" w:rsidRDefault="002E5509" w:rsidP="008B66C2">
            <w:pPr>
              <w:rPr>
                <w:b/>
                <w:szCs w:val="20"/>
              </w:rPr>
            </w:pPr>
            <w:r w:rsidRPr="0001451D">
              <w:rPr>
                <w:b/>
                <w:szCs w:val="20"/>
              </w:rPr>
              <w:t>7</w:t>
            </w:r>
            <w:r w:rsidR="008C2900">
              <w:rPr>
                <w:b/>
                <w:szCs w:val="20"/>
              </w:rPr>
              <w:t>%</w:t>
            </w:r>
          </w:p>
        </w:tc>
        <w:tc>
          <w:tcPr>
            <w:tcW w:w="992" w:type="dxa"/>
            <w:shd w:val="clear" w:color="auto" w:fill="auto"/>
          </w:tcPr>
          <w:p w:rsidR="008B66C2" w:rsidRPr="0001451D" w:rsidRDefault="008B66C2" w:rsidP="008B66C2">
            <w:pPr>
              <w:rPr>
                <w:b/>
                <w:szCs w:val="20"/>
              </w:rPr>
            </w:pPr>
            <w:r w:rsidRPr="0001451D">
              <w:rPr>
                <w:b/>
                <w:szCs w:val="20"/>
              </w:rPr>
              <w:t>NA</w:t>
            </w:r>
          </w:p>
        </w:tc>
        <w:tc>
          <w:tcPr>
            <w:tcW w:w="1134" w:type="dxa"/>
            <w:shd w:val="clear" w:color="auto" w:fill="auto"/>
          </w:tcPr>
          <w:p w:rsidR="008B66C2" w:rsidRPr="0001451D" w:rsidRDefault="008B66C2" w:rsidP="008B66C2">
            <w:pPr>
              <w:rPr>
                <w:b/>
                <w:szCs w:val="20"/>
              </w:rPr>
            </w:pPr>
            <w:r w:rsidRPr="0001451D">
              <w:rPr>
                <w:b/>
                <w:szCs w:val="20"/>
              </w:rPr>
              <w:t>NA</w:t>
            </w:r>
          </w:p>
        </w:tc>
      </w:tr>
    </w:tbl>
    <w:p w:rsidR="00CA43CD" w:rsidRPr="00010171" w:rsidRDefault="00CA43CD" w:rsidP="00CA43CD">
      <w:pPr>
        <w:spacing w:after="0" w:line="240" w:lineRule="auto"/>
        <w:jc w:val="both"/>
        <w:rPr>
          <w:b/>
          <w:sz w:val="24"/>
          <w:szCs w:val="24"/>
          <w:u w:val="single"/>
        </w:rPr>
      </w:pPr>
      <w:r w:rsidRPr="00010171">
        <w:rPr>
          <w:b/>
          <w:sz w:val="24"/>
          <w:szCs w:val="24"/>
          <w:u w:val="single"/>
        </w:rPr>
        <w:t xml:space="preserve">Key Stage Two (KS2) </w:t>
      </w:r>
      <w:proofErr w:type="gramStart"/>
      <w:r w:rsidRPr="00010171">
        <w:rPr>
          <w:b/>
          <w:sz w:val="24"/>
          <w:szCs w:val="24"/>
          <w:u w:val="single"/>
        </w:rPr>
        <w:t>Attainment</w:t>
      </w:r>
      <w:proofErr w:type="gramEnd"/>
    </w:p>
    <w:p w:rsidR="00F7310A" w:rsidRDefault="00F7310A" w:rsidP="00CA6EDB">
      <w:pPr>
        <w:spacing w:after="0" w:line="240" w:lineRule="auto"/>
        <w:jc w:val="both"/>
        <w:rPr>
          <w:sz w:val="24"/>
          <w:szCs w:val="24"/>
        </w:rPr>
      </w:pPr>
    </w:p>
    <w:p w:rsidR="00F7310A" w:rsidRDefault="00F7310A" w:rsidP="00CA6EDB">
      <w:pPr>
        <w:spacing w:after="0" w:line="240" w:lineRule="auto"/>
        <w:jc w:val="both"/>
        <w:rPr>
          <w:sz w:val="24"/>
          <w:szCs w:val="24"/>
        </w:rPr>
      </w:pPr>
    </w:p>
    <w:p w:rsidR="00F7310A" w:rsidRDefault="00F7310A" w:rsidP="00CA6EDB">
      <w:pPr>
        <w:spacing w:after="0" w:line="240" w:lineRule="auto"/>
        <w:jc w:val="both"/>
        <w:rPr>
          <w:sz w:val="24"/>
          <w:szCs w:val="24"/>
        </w:rPr>
      </w:pPr>
    </w:p>
    <w:p w:rsidR="00446952" w:rsidRDefault="00446952">
      <w:pPr>
        <w:rPr>
          <w:sz w:val="24"/>
          <w:szCs w:val="24"/>
        </w:rPr>
      </w:pPr>
      <w:r>
        <w:rPr>
          <w:sz w:val="24"/>
          <w:szCs w:val="24"/>
        </w:rPr>
        <w:br w:type="page"/>
      </w:r>
    </w:p>
    <w:p w:rsidR="00AA1CE8" w:rsidRDefault="00AA1CE8" w:rsidP="00CA6EDB">
      <w:pPr>
        <w:spacing w:after="0" w:line="240" w:lineRule="auto"/>
        <w:jc w:val="both"/>
        <w:rPr>
          <w:sz w:val="24"/>
          <w:szCs w:val="24"/>
        </w:rPr>
      </w:pPr>
    </w:p>
    <w:p w:rsidR="00010171" w:rsidRDefault="00F7310A" w:rsidP="00CA6EDB">
      <w:pPr>
        <w:spacing w:after="0" w:line="240" w:lineRule="auto"/>
        <w:jc w:val="both"/>
        <w:rPr>
          <w:b/>
          <w:sz w:val="24"/>
          <w:szCs w:val="24"/>
          <w:u w:val="single"/>
        </w:rPr>
      </w:pPr>
      <w:r w:rsidRPr="00010171">
        <w:rPr>
          <w:b/>
          <w:sz w:val="24"/>
          <w:szCs w:val="24"/>
          <w:u w:val="single"/>
        </w:rPr>
        <w:t>Key Stage Two Progress</w:t>
      </w:r>
    </w:p>
    <w:p w:rsidR="002E5509" w:rsidRPr="002B777A" w:rsidRDefault="002E5509" w:rsidP="00CA6EDB">
      <w:pPr>
        <w:spacing w:after="0" w:line="240" w:lineRule="auto"/>
        <w:jc w:val="both"/>
        <w:rPr>
          <w:b/>
          <w:sz w:val="24"/>
          <w:szCs w:val="24"/>
          <w:u w:val="single"/>
        </w:rPr>
      </w:pPr>
    </w:p>
    <w:p w:rsidR="002F303D" w:rsidRPr="002B777A" w:rsidRDefault="002F303D" w:rsidP="002F303D">
      <w:pPr>
        <w:spacing w:after="0" w:line="240" w:lineRule="auto"/>
        <w:rPr>
          <w:rFonts w:eastAsia="Times New Roman" w:cs="Arial"/>
          <w:sz w:val="24"/>
          <w:szCs w:val="24"/>
          <w:lang w:eastAsia="en-GB"/>
        </w:rPr>
      </w:pPr>
    </w:p>
    <w:p w:rsidR="002F303D" w:rsidRPr="002F303D" w:rsidRDefault="006974AB" w:rsidP="002F303D">
      <w:pPr>
        <w:spacing w:after="0" w:line="240" w:lineRule="auto"/>
        <w:rPr>
          <w:rFonts w:eastAsia="Times New Roman" w:cs="Arial"/>
          <w:sz w:val="24"/>
          <w:szCs w:val="24"/>
          <w:lang w:eastAsia="en-GB"/>
        </w:rPr>
      </w:pPr>
      <w:r>
        <w:rPr>
          <w:rFonts w:eastAsia="Times New Roman" w:cs="Arial"/>
          <w:sz w:val="24"/>
          <w:szCs w:val="24"/>
          <w:lang w:eastAsia="en-GB"/>
        </w:rPr>
        <w:t>Progress is measured using a value-added method</w:t>
      </w:r>
      <w:r w:rsidR="002F303D" w:rsidRPr="002F303D">
        <w:rPr>
          <w:rFonts w:eastAsia="Times New Roman" w:cs="Arial"/>
          <w:sz w:val="24"/>
          <w:szCs w:val="24"/>
          <w:lang w:eastAsia="en-GB"/>
        </w:rPr>
        <w:t xml:space="preserve">. </w:t>
      </w:r>
      <w:r w:rsidR="002B777A">
        <w:rPr>
          <w:rFonts w:eastAsia="Times New Roman" w:cs="Arial"/>
          <w:sz w:val="24"/>
          <w:szCs w:val="24"/>
          <w:lang w:eastAsia="en-GB"/>
        </w:rPr>
        <w:t>Each child’s Key Stage 2 result is compared to all other children nationally who had th</w:t>
      </w:r>
      <w:r>
        <w:rPr>
          <w:rFonts w:eastAsia="Times New Roman" w:cs="Arial"/>
          <w:sz w:val="24"/>
          <w:szCs w:val="24"/>
          <w:lang w:eastAsia="en-GB"/>
        </w:rPr>
        <w:t xml:space="preserve">e same result at Key stage 1. Children who make on average the same progress as other </w:t>
      </w:r>
      <w:r w:rsidR="008C2900">
        <w:rPr>
          <w:rFonts w:eastAsia="Times New Roman" w:cs="Arial"/>
          <w:sz w:val="24"/>
          <w:szCs w:val="24"/>
          <w:lang w:eastAsia="en-GB"/>
        </w:rPr>
        <w:t xml:space="preserve">children </w:t>
      </w:r>
      <w:r>
        <w:rPr>
          <w:rFonts w:eastAsia="Times New Roman" w:cs="Arial"/>
          <w:sz w:val="24"/>
          <w:szCs w:val="24"/>
          <w:lang w:eastAsia="en-GB"/>
        </w:rPr>
        <w:t>nationally are given a</w:t>
      </w:r>
      <w:r w:rsidR="002B777A">
        <w:rPr>
          <w:rFonts w:eastAsia="Times New Roman" w:cs="Arial"/>
          <w:sz w:val="24"/>
          <w:szCs w:val="24"/>
          <w:lang w:eastAsia="en-GB"/>
        </w:rPr>
        <w:t xml:space="preserve"> progress rating of zero. If a child has made above average progress, this will be a positive score, and less than average will be a negative score. </w:t>
      </w:r>
      <w:r w:rsidR="002F303D" w:rsidRPr="002F303D">
        <w:rPr>
          <w:rFonts w:eastAsia="Times New Roman" w:cs="Arial"/>
          <w:sz w:val="24"/>
          <w:szCs w:val="24"/>
          <w:lang w:eastAsia="en-GB"/>
        </w:rPr>
        <w:t>Any amount</w:t>
      </w:r>
      <w:r w:rsidR="002B777A">
        <w:rPr>
          <w:rFonts w:eastAsia="Times New Roman" w:cs="Arial"/>
          <w:sz w:val="24"/>
          <w:szCs w:val="24"/>
          <w:lang w:eastAsia="en-GB"/>
        </w:rPr>
        <w:t xml:space="preserve"> </w:t>
      </w:r>
      <w:r w:rsidR="002F303D" w:rsidRPr="002F303D">
        <w:rPr>
          <w:rFonts w:eastAsia="Times New Roman" w:cs="Arial"/>
          <w:sz w:val="24"/>
          <w:szCs w:val="24"/>
          <w:lang w:eastAsia="en-GB"/>
        </w:rPr>
        <w:t xml:space="preserve">of progress a pupil makes contributes towards the school’s </w:t>
      </w:r>
      <w:r>
        <w:rPr>
          <w:rFonts w:eastAsia="Times New Roman" w:cs="Arial"/>
          <w:sz w:val="24"/>
          <w:szCs w:val="24"/>
          <w:lang w:eastAsia="en-GB"/>
        </w:rPr>
        <w:t xml:space="preserve">overall </w:t>
      </w:r>
      <w:r w:rsidR="002F303D" w:rsidRPr="002F303D">
        <w:rPr>
          <w:rFonts w:eastAsia="Times New Roman" w:cs="Arial"/>
          <w:sz w:val="24"/>
          <w:szCs w:val="24"/>
          <w:lang w:eastAsia="en-GB"/>
        </w:rPr>
        <w:t>progress score.</w:t>
      </w:r>
      <w:r>
        <w:rPr>
          <w:rFonts w:eastAsia="Times New Roman" w:cs="Arial"/>
          <w:sz w:val="24"/>
          <w:szCs w:val="24"/>
          <w:lang w:eastAsia="en-GB"/>
        </w:rPr>
        <w:t xml:space="preserve"> Progress is only reported</w:t>
      </w:r>
      <w:r w:rsidR="002B777A">
        <w:rPr>
          <w:rFonts w:eastAsia="Times New Roman" w:cs="Arial"/>
          <w:sz w:val="24"/>
          <w:szCs w:val="24"/>
          <w:lang w:eastAsia="en-GB"/>
        </w:rPr>
        <w:t xml:space="preserve"> as a school, not for individual pupils.</w:t>
      </w:r>
    </w:p>
    <w:p w:rsidR="002F303D" w:rsidRPr="002F303D" w:rsidRDefault="002F303D" w:rsidP="00CA6EDB">
      <w:pPr>
        <w:spacing w:after="0" w:line="240" w:lineRule="auto"/>
        <w:jc w:val="both"/>
        <w:rPr>
          <w:sz w:val="24"/>
          <w:szCs w:val="24"/>
        </w:rPr>
      </w:pPr>
    </w:p>
    <w:tbl>
      <w:tblPr>
        <w:tblStyle w:val="TableGrid"/>
        <w:tblpPr w:leftFromText="180" w:rightFromText="180" w:vertAnchor="text" w:horzAnchor="margin" w:tblpY="192"/>
        <w:tblW w:w="0" w:type="auto"/>
        <w:tblLayout w:type="fixed"/>
        <w:tblLook w:val="04A0" w:firstRow="1" w:lastRow="0" w:firstColumn="1" w:lastColumn="0" w:noHBand="0" w:noVBand="1"/>
      </w:tblPr>
      <w:tblGrid>
        <w:gridCol w:w="1213"/>
        <w:gridCol w:w="1730"/>
        <w:gridCol w:w="1985"/>
        <w:gridCol w:w="1985"/>
      </w:tblGrid>
      <w:tr w:rsidR="002B777A" w:rsidRPr="00C978F2" w:rsidTr="000635AB">
        <w:tc>
          <w:tcPr>
            <w:tcW w:w="1213" w:type="dxa"/>
            <w:shd w:val="clear" w:color="auto" w:fill="D9D9D9" w:themeFill="background1" w:themeFillShade="D9"/>
            <w:vAlign w:val="center"/>
          </w:tcPr>
          <w:p w:rsidR="002B777A" w:rsidRPr="0001451D" w:rsidRDefault="002B777A" w:rsidP="002E5509">
            <w:pPr>
              <w:jc w:val="center"/>
              <w:rPr>
                <w:rFonts w:cs="Tahoma"/>
                <w:szCs w:val="20"/>
              </w:rPr>
            </w:pPr>
          </w:p>
        </w:tc>
        <w:tc>
          <w:tcPr>
            <w:tcW w:w="1730" w:type="dxa"/>
            <w:vAlign w:val="center"/>
          </w:tcPr>
          <w:p w:rsidR="002B777A" w:rsidRPr="0001451D" w:rsidRDefault="002B777A" w:rsidP="002E5509">
            <w:pPr>
              <w:jc w:val="center"/>
              <w:rPr>
                <w:rFonts w:cs="Tahoma"/>
                <w:szCs w:val="20"/>
              </w:rPr>
            </w:pPr>
            <w:r w:rsidRPr="0001451D">
              <w:rPr>
                <w:rFonts w:cs="Tahoma"/>
                <w:szCs w:val="20"/>
              </w:rPr>
              <w:t>Progress Park Grove 2016</w:t>
            </w:r>
          </w:p>
        </w:tc>
        <w:tc>
          <w:tcPr>
            <w:tcW w:w="1985" w:type="dxa"/>
            <w:shd w:val="clear" w:color="auto" w:fill="D9D9D9" w:themeFill="background1" w:themeFillShade="D9"/>
          </w:tcPr>
          <w:p w:rsidR="002B777A" w:rsidRPr="0001451D" w:rsidRDefault="002B777A" w:rsidP="002E5509">
            <w:pPr>
              <w:jc w:val="center"/>
              <w:rPr>
                <w:rFonts w:cs="Tahoma"/>
                <w:b/>
                <w:szCs w:val="20"/>
              </w:rPr>
            </w:pPr>
            <w:r w:rsidRPr="0001451D">
              <w:rPr>
                <w:rFonts w:cs="Tahoma"/>
                <w:b/>
                <w:szCs w:val="20"/>
              </w:rPr>
              <w:t>National average progress score</w:t>
            </w:r>
          </w:p>
        </w:tc>
        <w:tc>
          <w:tcPr>
            <w:tcW w:w="1985" w:type="dxa"/>
            <w:shd w:val="clear" w:color="auto" w:fill="D9D9D9" w:themeFill="background1" w:themeFillShade="D9"/>
            <w:vAlign w:val="center"/>
          </w:tcPr>
          <w:p w:rsidR="002B777A" w:rsidRPr="0001451D" w:rsidRDefault="002B777A" w:rsidP="002E5509">
            <w:pPr>
              <w:jc w:val="center"/>
              <w:rPr>
                <w:rFonts w:cs="Tahoma"/>
                <w:b/>
                <w:szCs w:val="20"/>
              </w:rPr>
            </w:pPr>
            <w:r w:rsidRPr="0001451D">
              <w:rPr>
                <w:rFonts w:cs="Tahoma"/>
                <w:b/>
                <w:szCs w:val="20"/>
              </w:rPr>
              <w:t>National Floor standard</w:t>
            </w:r>
          </w:p>
        </w:tc>
      </w:tr>
      <w:tr w:rsidR="002B777A" w:rsidRPr="00C978F2" w:rsidTr="000635AB">
        <w:tc>
          <w:tcPr>
            <w:tcW w:w="1213" w:type="dxa"/>
            <w:shd w:val="clear" w:color="auto" w:fill="D9D9D9" w:themeFill="background1" w:themeFillShade="D9"/>
            <w:vAlign w:val="center"/>
          </w:tcPr>
          <w:p w:rsidR="002B777A" w:rsidRPr="0001451D" w:rsidRDefault="002B777A" w:rsidP="002E5509">
            <w:pPr>
              <w:jc w:val="center"/>
              <w:rPr>
                <w:rFonts w:cs="Tahoma"/>
                <w:szCs w:val="20"/>
              </w:rPr>
            </w:pPr>
            <w:r w:rsidRPr="0001451D">
              <w:rPr>
                <w:rFonts w:cs="Tahoma"/>
                <w:szCs w:val="20"/>
              </w:rPr>
              <w:t>Reading</w:t>
            </w:r>
          </w:p>
        </w:tc>
        <w:tc>
          <w:tcPr>
            <w:tcW w:w="1730" w:type="dxa"/>
            <w:vAlign w:val="center"/>
          </w:tcPr>
          <w:p w:rsidR="002B777A" w:rsidRPr="0001451D" w:rsidRDefault="002B777A" w:rsidP="002E5509">
            <w:pPr>
              <w:jc w:val="center"/>
              <w:rPr>
                <w:rFonts w:cs="Tahoma"/>
                <w:szCs w:val="20"/>
              </w:rPr>
            </w:pPr>
            <w:r w:rsidRPr="0001451D">
              <w:rPr>
                <w:rFonts w:cs="Tahoma"/>
                <w:szCs w:val="20"/>
              </w:rPr>
              <w:t>5.2</w:t>
            </w:r>
          </w:p>
        </w:tc>
        <w:tc>
          <w:tcPr>
            <w:tcW w:w="1985" w:type="dxa"/>
            <w:shd w:val="clear" w:color="auto" w:fill="D9D9D9" w:themeFill="background1" w:themeFillShade="D9"/>
          </w:tcPr>
          <w:p w:rsidR="002B777A" w:rsidRPr="0001451D" w:rsidRDefault="002B777A" w:rsidP="002E5509">
            <w:pPr>
              <w:jc w:val="center"/>
              <w:rPr>
                <w:rFonts w:cs="Tahoma"/>
                <w:szCs w:val="20"/>
              </w:rPr>
            </w:pPr>
            <w:r w:rsidRPr="0001451D">
              <w:rPr>
                <w:rFonts w:cs="Tahoma"/>
                <w:szCs w:val="20"/>
              </w:rPr>
              <w:t>TBC</w:t>
            </w:r>
          </w:p>
        </w:tc>
        <w:tc>
          <w:tcPr>
            <w:tcW w:w="1985" w:type="dxa"/>
            <w:shd w:val="clear" w:color="auto" w:fill="D9D9D9" w:themeFill="background1" w:themeFillShade="D9"/>
          </w:tcPr>
          <w:p w:rsidR="002B777A" w:rsidRPr="0001451D" w:rsidRDefault="002B777A" w:rsidP="002E5509">
            <w:pPr>
              <w:jc w:val="center"/>
              <w:rPr>
                <w:rFonts w:cs="Tahoma"/>
                <w:szCs w:val="20"/>
              </w:rPr>
            </w:pPr>
            <w:r w:rsidRPr="0001451D">
              <w:rPr>
                <w:rFonts w:cs="Tahoma"/>
                <w:szCs w:val="20"/>
              </w:rPr>
              <w:t>-5</w:t>
            </w:r>
          </w:p>
        </w:tc>
      </w:tr>
      <w:tr w:rsidR="002B777A" w:rsidRPr="00C978F2" w:rsidTr="000635AB">
        <w:tc>
          <w:tcPr>
            <w:tcW w:w="1213" w:type="dxa"/>
            <w:shd w:val="clear" w:color="auto" w:fill="D9D9D9" w:themeFill="background1" w:themeFillShade="D9"/>
            <w:vAlign w:val="center"/>
          </w:tcPr>
          <w:p w:rsidR="002B777A" w:rsidRPr="0001451D" w:rsidRDefault="002B777A" w:rsidP="002E5509">
            <w:pPr>
              <w:jc w:val="center"/>
              <w:rPr>
                <w:rFonts w:cs="Tahoma"/>
                <w:szCs w:val="20"/>
              </w:rPr>
            </w:pPr>
            <w:r w:rsidRPr="0001451D">
              <w:rPr>
                <w:rFonts w:cs="Tahoma"/>
                <w:szCs w:val="20"/>
              </w:rPr>
              <w:t>Writing</w:t>
            </w:r>
          </w:p>
        </w:tc>
        <w:tc>
          <w:tcPr>
            <w:tcW w:w="1730" w:type="dxa"/>
            <w:vAlign w:val="center"/>
          </w:tcPr>
          <w:p w:rsidR="002B777A" w:rsidRPr="0001451D" w:rsidRDefault="002B777A" w:rsidP="002E5509">
            <w:pPr>
              <w:jc w:val="center"/>
              <w:rPr>
                <w:rFonts w:cs="Tahoma"/>
                <w:szCs w:val="20"/>
              </w:rPr>
            </w:pPr>
            <w:r w:rsidRPr="0001451D">
              <w:rPr>
                <w:rFonts w:cs="Tahoma"/>
                <w:szCs w:val="20"/>
              </w:rPr>
              <w:t>2.1</w:t>
            </w:r>
          </w:p>
        </w:tc>
        <w:tc>
          <w:tcPr>
            <w:tcW w:w="1985" w:type="dxa"/>
            <w:shd w:val="clear" w:color="auto" w:fill="D9D9D9" w:themeFill="background1" w:themeFillShade="D9"/>
          </w:tcPr>
          <w:p w:rsidR="002B777A" w:rsidRPr="0001451D" w:rsidRDefault="002B777A" w:rsidP="002E5509">
            <w:pPr>
              <w:jc w:val="center"/>
              <w:rPr>
                <w:rFonts w:cs="Tahoma"/>
                <w:szCs w:val="20"/>
              </w:rPr>
            </w:pPr>
            <w:r w:rsidRPr="0001451D">
              <w:rPr>
                <w:rFonts w:cs="Tahoma"/>
                <w:szCs w:val="20"/>
              </w:rPr>
              <w:t>TBC</w:t>
            </w:r>
          </w:p>
        </w:tc>
        <w:tc>
          <w:tcPr>
            <w:tcW w:w="1985" w:type="dxa"/>
            <w:shd w:val="clear" w:color="auto" w:fill="D9D9D9" w:themeFill="background1" w:themeFillShade="D9"/>
          </w:tcPr>
          <w:p w:rsidR="002B777A" w:rsidRPr="0001451D" w:rsidRDefault="002B777A" w:rsidP="002E5509">
            <w:pPr>
              <w:jc w:val="center"/>
              <w:rPr>
                <w:rFonts w:cs="Tahoma"/>
                <w:szCs w:val="20"/>
              </w:rPr>
            </w:pPr>
            <w:r w:rsidRPr="0001451D">
              <w:rPr>
                <w:rFonts w:cs="Tahoma"/>
                <w:szCs w:val="20"/>
              </w:rPr>
              <w:t>-7</w:t>
            </w:r>
          </w:p>
        </w:tc>
      </w:tr>
      <w:tr w:rsidR="002B777A" w:rsidRPr="00C978F2" w:rsidTr="000635AB">
        <w:tc>
          <w:tcPr>
            <w:tcW w:w="1213" w:type="dxa"/>
            <w:shd w:val="clear" w:color="auto" w:fill="D9D9D9" w:themeFill="background1" w:themeFillShade="D9"/>
            <w:vAlign w:val="center"/>
          </w:tcPr>
          <w:p w:rsidR="002B777A" w:rsidRPr="0001451D" w:rsidRDefault="002B777A" w:rsidP="002E5509">
            <w:pPr>
              <w:jc w:val="center"/>
              <w:rPr>
                <w:rFonts w:cs="Tahoma"/>
                <w:szCs w:val="20"/>
              </w:rPr>
            </w:pPr>
            <w:r w:rsidRPr="0001451D">
              <w:rPr>
                <w:rFonts w:cs="Tahoma"/>
                <w:szCs w:val="20"/>
              </w:rPr>
              <w:t>Maths</w:t>
            </w:r>
          </w:p>
        </w:tc>
        <w:tc>
          <w:tcPr>
            <w:tcW w:w="1730" w:type="dxa"/>
            <w:vAlign w:val="center"/>
          </w:tcPr>
          <w:p w:rsidR="002B777A" w:rsidRPr="0001451D" w:rsidRDefault="002B777A" w:rsidP="002E5509">
            <w:pPr>
              <w:jc w:val="center"/>
              <w:rPr>
                <w:rFonts w:cs="Tahoma"/>
                <w:szCs w:val="20"/>
              </w:rPr>
            </w:pPr>
            <w:r w:rsidRPr="0001451D">
              <w:rPr>
                <w:rFonts w:cs="Tahoma"/>
                <w:szCs w:val="20"/>
              </w:rPr>
              <w:t>1.2</w:t>
            </w:r>
          </w:p>
        </w:tc>
        <w:tc>
          <w:tcPr>
            <w:tcW w:w="1985" w:type="dxa"/>
            <w:shd w:val="clear" w:color="auto" w:fill="D9D9D9" w:themeFill="background1" w:themeFillShade="D9"/>
          </w:tcPr>
          <w:p w:rsidR="002B777A" w:rsidRPr="0001451D" w:rsidRDefault="002B777A" w:rsidP="002E5509">
            <w:pPr>
              <w:jc w:val="center"/>
              <w:rPr>
                <w:rFonts w:cs="Tahoma"/>
                <w:szCs w:val="20"/>
              </w:rPr>
            </w:pPr>
            <w:r w:rsidRPr="0001451D">
              <w:rPr>
                <w:rFonts w:cs="Tahoma"/>
                <w:szCs w:val="20"/>
              </w:rPr>
              <w:t>TBC</w:t>
            </w:r>
          </w:p>
        </w:tc>
        <w:tc>
          <w:tcPr>
            <w:tcW w:w="1985" w:type="dxa"/>
            <w:shd w:val="clear" w:color="auto" w:fill="D9D9D9" w:themeFill="background1" w:themeFillShade="D9"/>
          </w:tcPr>
          <w:p w:rsidR="002B777A" w:rsidRPr="0001451D" w:rsidRDefault="002B777A" w:rsidP="002E5509">
            <w:pPr>
              <w:jc w:val="center"/>
              <w:rPr>
                <w:rFonts w:cs="Tahoma"/>
                <w:szCs w:val="20"/>
              </w:rPr>
            </w:pPr>
            <w:r w:rsidRPr="0001451D">
              <w:rPr>
                <w:rFonts w:cs="Tahoma"/>
                <w:szCs w:val="20"/>
              </w:rPr>
              <w:t>-5</w:t>
            </w:r>
          </w:p>
        </w:tc>
      </w:tr>
    </w:tbl>
    <w:p w:rsidR="002E775F" w:rsidRDefault="002E775F" w:rsidP="00CA6EDB">
      <w:pPr>
        <w:spacing w:after="0" w:line="240" w:lineRule="auto"/>
        <w:jc w:val="both"/>
        <w:rPr>
          <w:sz w:val="24"/>
          <w:szCs w:val="24"/>
        </w:rPr>
      </w:pPr>
    </w:p>
    <w:p w:rsidR="002E775F" w:rsidRDefault="002E775F" w:rsidP="00CA6EDB">
      <w:pPr>
        <w:spacing w:after="0" w:line="240" w:lineRule="auto"/>
        <w:jc w:val="both"/>
        <w:rPr>
          <w:sz w:val="24"/>
          <w:szCs w:val="24"/>
        </w:rPr>
      </w:pPr>
    </w:p>
    <w:p w:rsidR="002E775F" w:rsidRDefault="002E775F" w:rsidP="00CA6EDB">
      <w:pPr>
        <w:spacing w:after="0" w:line="240" w:lineRule="auto"/>
        <w:jc w:val="both"/>
        <w:rPr>
          <w:sz w:val="24"/>
          <w:szCs w:val="24"/>
        </w:rPr>
      </w:pPr>
    </w:p>
    <w:p w:rsidR="002E775F" w:rsidRDefault="002E775F" w:rsidP="00CA6EDB">
      <w:pPr>
        <w:spacing w:after="0" w:line="240" w:lineRule="auto"/>
        <w:jc w:val="both"/>
        <w:rPr>
          <w:sz w:val="24"/>
          <w:szCs w:val="24"/>
        </w:rPr>
      </w:pPr>
    </w:p>
    <w:p w:rsidR="002E775F" w:rsidRDefault="002E775F" w:rsidP="00CA6EDB">
      <w:pPr>
        <w:spacing w:after="0" w:line="240" w:lineRule="auto"/>
        <w:jc w:val="both"/>
        <w:rPr>
          <w:sz w:val="24"/>
          <w:szCs w:val="24"/>
        </w:rPr>
      </w:pPr>
    </w:p>
    <w:p w:rsidR="002E775F" w:rsidRDefault="002E775F" w:rsidP="00CA6EDB">
      <w:pPr>
        <w:spacing w:after="0" w:line="240" w:lineRule="auto"/>
        <w:jc w:val="both"/>
        <w:rPr>
          <w:sz w:val="24"/>
          <w:szCs w:val="24"/>
        </w:rPr>
      </w:pPr>
    </w:p>
    <w:p w:rsidR="002E775F" w:rsidRDefault="002E775F" w:rsidP="00CA6EDB">
      <w:pPr>
        <w:spacing w:after="0" w:line="240" w:lineRule="auto"/>
        <w:jc w:val="both"/>
        <w:rPr>
          <w:sz w:val="24"/>
          <w:szCs w:val="24"/>
        </w:rPr>
      </w:pPr>
    </w:p>
    <w:p w:rsidR="00DB66A8" w:rsidRDefault="00DB66A8" w:rsidP="00CA6EDB">
      <w:pPr>
        <w:spacing w:after="0" w:line="240" w:lineRule="auto"/>
        <w:jc w:val="both"/>
        <w:rPr>
          <w:sz w:val="24"/>
          <w:szCs w:val="24"/>
        </w:rPr>
      </w:pPr>
      <w:r>
        <w:rPr>
          <w:sz w:val="24"/>
          <w:szCs w:val="24"/>
        </w:rPr>
        <w:t>If you have any questions about the assessment procedures</w:t>
      </w:r>
      <w:r w:rsidR="002B777A">
        <w:rPr>
          <w:sz w:val="24"/>
          <w:szCs w:val="24"/>
        </w:rPr>
        <w:t xml:space="preserve"> for 2015-2016</w:t>
      </w:r>
      <w:r>
        <w:rPr>
          <w:sz w:val="24"/>
          <w:szCs w:val="24"/>
        </w:rPr>
        <w:t xml:space="preserve"> at Park Grove or the data that has been presented, please do not hesitate to get in touch with us.  We are always happy to help and support you with any queries or concerns.</w:t>
      </w:r>
    </w:p>
    <w:p w:rsidR="0065244F" w:rsidRDefault="0065244F" w:rsidP="00CA6EDB">
      <w:pPr>
        <w:spacing w:after="0" w:line="240" w:lineRule="auto"/>
        <w:jc w:val="both"/>
        <w:rPr>
          <w:sz w:val="24"/>
          <w:szCs w:val="24"/>
        </w:rPr>
      </w:pPr>
    </w:p>
    <w:p w:rsidR="0065244F" w:rsidRDefault="0065244F"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2B777A" w:rsidRDefault="002B777A" w:rsidP="00CA6EDB">
      <w:pPr>
        <w:spacing w:after="0" w:line="240" w:lineRule="auto"/>
        <w:jc w:val="both"/>
        <w:rPr>
          <w:sz w:val="24"/>
          <w:szCs w:val="24"/>
        </w:rPr>
      </w:pPr>
    </w:p>
    <w:p w:rsidR="00D476A1" w:rsidRDefault="0065244F" w:rsidP="00D476A1">
      <w:pPr>
        <w:spacing w:after="0" w:line="240" w:lineRule="auto"/>
        <w:jc w:val="both"/>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51BD8975" wp14:editId="6F4F2671">
                <wp:simplePos x="0" y="0"/>
                <wp:positionH relativeFrom="column">
                  <wp:align>center</wp:align>
                </wp:positionH>
                <wp:positionV relativeFrom="paragraph">
                  <wp:posOffset>1990090</wp:posOffset>
                </wp:positionV>
                <wp:extent cx="409829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336550"/>
                        </a:xfrm>
                        <a:prstGeom prst="rect">
                          <a:avLst/>
                        </a:prstGeom>
                        <a:noFill/>
                        <a:ln>
                          <a:noFill/>
                        </a:ln>
                        <a:extLst>
                          <a:ext uri="{909E8E84-426E-40DD-AFC4-6F175D3DCCD1}">
                            <a14:hiddenFill xmlns:a14="http://schemas.microsoft.com/office/drawing/2010/main">
                              <a:solidFill>
                                <a:srgbClr val="FFFF00">
                                  <a:alpha val="5000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5244F" w:rsidRDefault="00652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6.7pt;width:322.7pt;height:2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1xwIAANoFAAAOAAAAZHJzL2Uyb0RvYy54bWysVNtu2zAMfR+wfxD07vpSOYmNOkUbx8OA&#10;7gK0+wDFlmNhtuRJSpxu2L+PknNxu5dhmx8MiZQOecgj3tweuhbtmdJcigyHVwFGTJSy4mKb4S9P&#10;hbfASBsqKtpKwTL8zDS+Xb59czP0KYtkI9uKKQQgQqdDn+HGmD71fV02rKP6SvZMgLOWqqMGtmrr&#10;V4oOgN61fhQEM3+QquqVLJnWYM1HJ146/LpmpflU15oZ1GYYcjPur9x/Y//+8oamW0X7hpfHNOhf&#10;ZNFRLiDoGSqnhqKd4r9BdbxUUsvaXJWy82Vd85I5DsAmDF6xeWxozxwXKI7uz2XS/w+2/Lj/rBCv&#10;MhxhJGgHLXpiB4Pu5QFFtjpDr1M49NjDMXMAM3TZMdX9gyy/aiTkqqFiy+6UkkPDaAXZhfamP7k6&#10;4mgLshk+yArC0J2RDuhQq86WDoqBAB269HzujE2lBCMJkkWUgKsE3/X1LI5d63yanm73Spt3THbI&#10;LjKsoPMOne4ftLHZ0PR0xAYTsuBt67rfihcGODhaIDZctT6bhWvmjyRI1ov1gngkmq09EuS5d1es&#10;iDcrwnmcX+erVR7+tHFDkja8qpiwYU7CCsmfNe4o8VESZ2lp2fLKwtmUtNpuVq1CewrCLuALgpFu&#10;2zd0tMYBfK4R5+OuDBMc/2Wezg1kX3EOIxLcR4lXzBZzjxQk9pJ5sPCCMLlPZgFJSF685PzABft3&#10;zmjIcBJHseM1SfrM5kK+KE48pzXquIHZ0vIuwwtbi+Nrtxpdi8r13lDejutJKWz6l1KAHk5KcIq2&#10;Ih7lbA6bA6BYmW9k9QzaVhKkByqFgQiLRqrvGA0wXDKsv+2oYhi17wW8jyQkxE4jtyHxPIKNmno2&#10;Uw8VJUBl2GA0LldmnGC7XvFtA5HGFynkHbypmju5X7ICKnYDA8SROg47O6Gme3fqMpKXvwAAAP//&#10;AwBQSwMEFAAGAAgAAAAhAB8in2DfAAAACAEAAA8AAABkcnMvZG93bnJldi54bWxMj0FPwzAMhe9I&#10;/IfISFwQS8dKhErTaZoYu4AEHRLXrDVtReOUOtvKv8ec4Gb7PT1/L19OvldHHLkLZGE+S0AhVaHu&#10;qLHwtttc34Hi6Kh2fSC08I0My+L8LHdZHU70iscyNkpCiDNnoY1xyLTmqkXveBYGJNE+wuhdlHVs&#10;dD26k4T7Xt8kidHedSQfWjfgusXqszx4C+U7l36945ftM1+F7ebx6+lhZay9vJhW96AiTvHPDL/4&#10;gg6FMO3DgWpWvQUpEi0s5osUlMgmvZVhLxdjUtBFrv8XKH4AAAD//wMAUEsBAi0AFAAGAAgAAAAh&#10;ALaDOJL+AAAA4QEAABMAAAAAAAAAAAAAAAAAAAAAAFtDb250ZW50X1R5cGVzXS54bWxQSwECLQAU&#10;AAYACAAAACEAOP0h/9YAAACUAQAACwAAAAAAAAAAAAAAAAAvAQAAX3JlbHMvLnJlbHNQSwECLQAU&#10;AAYACAAAACEAQ6B3dccCAADaBQAADgAAAAAAAAAAAAAAAAAuAgAAZHJzL2Uyb0RvYy54bWxQSwEC&#10;LQAUAAYACAAAACEAHyKfYN8AAAAIAQAADwAAAAAAAAAAAAAAAAAhBQAAZHJzL2Rvd25yZXYueG1s&#10;UEsFBgAAAAAEAAQA8wAAAC0GAAAAAA==&#10;" filled="f" fillcolor="yellow" stroked="f" strokecolor="white">
                <v:fill opacity="32896f"/>
                <v:textbox>
                  <w:txbxContent>
                    <w:p w:rsidR="0065244F" w:rsidRDefault="0065244F"/>
                  </w:txbxContent>
                </v:textbox>
              </v:shape>
            </w:pict>
          </mc:Fallback>
        </mc:AlternateContent>
      </w:r>
      <w:r w:rsidR="00D476A1">
        <w:rPr>
          <w:sz w:val="24"/>
          <w:szCs w:val="24"/>
        </w:rPr>
        <w:t xml:space="preserve">                            </w:t>
      </w:r>
    </w:p>
    <w:p w:rsidR="00D476A1" w:rsidRDefault="00D476A1" w:rsidP="00D476A1">
      <w:pPr>
        <w:spacing w:after="0" w:line="240" w:lineRule="auto"/>
        <w:jc w:val="both"/>
        <w:rPr>
          <w:sz w:val="24"/>
          <w:szCs w:val="24"/>
        </w:rPr>
      </w:pPr>
    </w:p>
    <w:p w:rsidR="002B777A" w:rsidRDefault="002B777A" w:rsidP="00D476A1">
      <w:pPr>
        <w:spacing w:after="0" w:line="240" w:lineRule="auto"/>
        <w:jc w:val="both"/>
        <w:rPr>
          <w:sz w:val="24"/>
          <w:szCs w:val="24"/>
        </w:rPr>
      </w:pPr>
    </w:p>
    <w:p w:rsidR="002B777A" w:rsidRDefault="002B777A" w:rsidP="00D476A1">
      <w:pPr>
        <w:spacing w:after="0" w:line="240" w:lineRule="auto"/>
        <w:jc w:val="both"/>
        <w:rPr>
          <w:sz w:val="24"/>
          <w:szCs w:val="24"/>
        </w:rPr>
      </w:pPr>
    </w:p>
    <w:p w:rsidR="002B777A" w:rsidRDefault="002B777A" w:rsidP="00D476A1">
      <w:pPr>
        <w:spacing w:after="0" w:line="240" w:lineRule="auto"/>
        <w:jc w:val="both"/>
        <w:rPr>
          <w:sz w:val="24"/>
          <w:szCs w:val="24"/>
        </w:rPr>
      </w:pPr>
    </w:p>
    <w:p w:rsidR="0065244F" w:rsidRPr="00D476A1" w:rsidRDefault="00D476A1" w:rsidP="00D476A1">
      <w:pPr>
        <w:spacing w:after="0" w:line="240" w:lineRule="auto"/>
        <w:jc w:val="both"/>
        <w:rPr>
          <w:sz w:val="24"/>
          <w:szCs w:val="24"/>
        </w:rPr>
      </w:pPr>
      <w:r>
        <w:rPr>
          <w:sz w:val="24"/>
          <w:szCs w:val="24"/>
        </w:rPr>
        <w:t xml:space="preserve">                            </w:t>
      </w:r>
      <w:r w:rsidR="0065244F">
        <w:rPr>
          <w:rFonts w:ascii="Monotype Corsiva" w:eastAsia="Arial Unicode MS" w:hAnsi="Monotype Corsiva" w:cs="Arial Unicode MS"/>
          <w:color w:val="0000FF"/>
          <w:sz w:val="32"/>
          <w:szCs w:val="32"/>
        </w:rPr>
        <w:t>Empowering Children through Creative Learning</w:t>
      </w:r>
    </w:p>
    <w:sectPr w:rsidR="0065244F" w:rsidRPr="00D476A1" w:rsidSect="00CF14C9">
      <w:pgSz w:w="11906" w:h="16838"/>
      <w:pgMar w:top="851" w:right="1077" w:bottom="68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492D"/>
    <w:multiLevelType w:val="hybridMultilevel"/>
    <w:tmpl w:val="5254F8C4"/>
    <w:lvl w:ilvl="0" w:tplc="21C01A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E6A67"/>
    <w:multiLevelType w:val="hybridMultilevel"/>
    <w:tmpl w:val="3626C7EA"/>
    <w:lvl w:ilvl="0" w:tplc="12D00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AC"/>
    <w:rsid w:val="00010171"/>
    <w:rsid w:val="0001451D"/>
    <w:rsid w:val="0001537F"/>
    <w:rsid w:val="000B488D"/>
    <w:rsid w:val="000D57E9"/>
    <w:rsid w:val="001636AE"/>
    <w:rsid w:val="00165F26"/>
    <w:rsid w:val="00185A46"/>
    <w:rsid w:val="001A059A"/>
    <w:rsid w:val="001C72AC"/>
    <w:rsid w:val="002B777A"/>
    <w:rsid w:val="002C0D3B"/>
    <w:rsid w:val="002E5509"/>
    <w:rsid w:val="002E7317"/>
    <w:rsid w:val="002E775F"/>
    <w:rsid w:val="002F303D"/>
    <w:rsid w:val="0031539A"/>
    <w:rsid w:val="0032194D"/>
    <w:rsid w:val="00331253"/>
    <w:rsid w:val="003C6273"/>
    <w:rsid w:val="003E3455"/>
    <w:rsid w:val="00446952"/>
    <w:rsid w:val="004F145A"/>
    <w:rsid w:val="005B21F0"/>
    <w:rsid w:val="00617E3C"/>
    <w:rsid w:val="0065244F"/>
    <w:rsid w:val="006974AB"/>
    <w:rsid w:val="007211CC"/>
    <w:rsid w:val="007A50B2"/>
    <w:rsid w:val="00845F66"/>
    <w:rsid w:val="0088549A"/>
    <w:rsid w:val="008B66C2"/>
    <w:rsid w:val="008C2900"/>
    <w:rsid w:val="008D1CE0"/>
    <w:rsid w:val="008D6AD2"/>
    <w:rsid w:val="00923685"/>
    <w:rsid w:val="009576C2"/>
    <w:rsid w:val="009A1F42"/>
    <w:rsid w:val="00A12EB3"/>
    <w:rsid w:val="00A76038"/>
    <w:rsid w:val="00A76B06"/>
    <w:rsid w:val="00A9121D"/>
    <w:rsid w:val="00AA1CE8"/>
    <w:rsid w:val="00AE7AE7"/>
    <w:rsid w:val="00BF4BBF"/>
    <w:rsid w:val="00C01944"/>
    <w:rsid w:val="00C1104B"/>
    <w:rsid w:val="00C22D88"/>
    <w:rsid w:val="00CA43CD"/>
    <w:rsid w:val="00CA6EDB"/>
    <w:rsid w:val="00CF14C9"/>
    <w:rsid w:val="00D21303"/>
    <w:rsid w:val="00D476A1"/>
    <w:rsid w:val="00D578A8"/>
    <w:rsid w:val="00D71D5C"/>
    <w:rsid w:val="00D854BD"/>
    <w:rsid w:val="00DB66A8"/>
    <w:rsid w:val="00F215BF"/>
    <w:rsid w:val="00F7310A"/>
    <w:rsid w:val="00F7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6763">
      <w:bodyDiv w:val="1"/>
      <w:marLeft w:val="0"/>
      <w:marRight w:val="0"/>
      <w:marTop w:val="0"/>
      <w:marBottom w:val="0"/>
      <w:divBdr>
        <w:top w:val="none" w:sz="0" w:space="0" w:color="auto"/>
        <w:left w:val="none" w:sz="0" w:space="0" w:color="auto"/>
        <w:bottom w:val="none" w:sz="0" w:space="0" w:color="auto"/>
        <w:right w:val="none" w:sz="0" w:space="0" w:color="auto"/>
      </w:divBdr>
    </w:div>
    <w:div w:id="577516637">
      <w:bodyDiv w:val="1"/>
      <w:marLeft w:val="0"/>
      <w:marRight w:val="0"/>
      <w:marTop w:val="0"/>
      <w:marBottom w:val="0"/>
      <w:divBdr>
        <w:top w:val="none" w:sz="0" w:space="0" w:color="auto"/>
        <w:left w:val="none" w:sz="0" w:space="0" w:color="auto"/>
        <w:bottom w:val="none" w:sz="0" w:space="0" w:color="auto"/>
        <w:right w:val="none" w:sz="0" w:space="0" w:color="auto"/>
      </w:divBdr>
    </w:div>
    <w:div w:id="637682077">
      <w:bodyDiv w:val="1"/>
      <w:marLeft w:val="0"/>
      <w:marRight w:val="0"/>
      <w:marTop w:val="0"/>
      <w:marBottom w:val="0"/>
      <w:divBdr>
        <w:top w:val="none" w:sz="0" w:space="0" w:color="auto"/>
        <w:left w:val="none" w:sz="0" w:space="0" w:color="auto"/>
        <w:bottom w:val="none" w:sz="0" w:space="0" w:color="auto"/>
        <w:right w:val="none" w:sz="0" w:space="0" w:color="auto"/>
      </w:divBdr>
    </w:div>
    <w:div w:id="665787524">
      <w:bodyDiv w:val="1"/>
      <w:marLeft w:val="0"/>
      <w:marRight w:val="0"/>
      <w:marTop w:val="0"/>
      <w:marBottom w:val="0"/>
      <w:divBdr>
        <w:top w:val="none" w:sz="0" w:space="0" w:color="auto"/>
        <w:left w:val="none" w:sz="0" w:space="0" w:color="auto"/>
        <w:bottom w:val="none" w:sz="0" w:space="0" w:color="auto"/>
        <w:right w:val="none" w:sz="0" w:space="0" w:color="auto"/>
      </w:divBdr>
      <w:divsChild>
        <w:div w:id="1800220548">
          <w:marLeft w:val="0"/>
          <w:marRight w:val="0"/>
          <w:marTop w:val="0"/>
          <w:marBottom w:val="0"/>
          <w:divBdr>
            <w:top w:val="none" w:sz="0" w:space="0" w:color="auto"/>
            <w:left w:val="none" w:sz="0" w:space="0" w:color="auto"/>
            <w:bottom w:val="none" w:sz="0" w:space="0" w:color="auto"/>
            <w:right w:val="none" w:sz="0" w:space="0" w:color="auto"/>
          </w:divBdr>
        </w:div>
        <w:div w:id="1583830181">
          <w:marLeft w:val="0"/>
          <w:marRight w:val="0"/>
          <w:marTop w:val="0"/>
          <w:marBottom w:val="0"/>
          <w:divBdr>
            <w:top w:val="none" w:sz="0" w:space="0" w:color="auto"/>
            <w:left w:val="none" w:sz="0" w:space="0" w:color="auto"/>
            <w:bottom w:val="none" w:sz="0" w:space="0" w:color="auto"/>
            <w:right w:val="none" w:sz="0" w:space="0" w:color="auto"/>
          </w:divBdr>
        </w:div>
        <w:div w:id="1781947344">
          <w:marLeft w:val="0"/>
          <w:marRight w:val="0"/>
          <w:marTop w:val="0"/>
          <w:marBottom w:val="0"/>
          <w:divBdr>
            <w:top w:val="none" w:sz="0" w:space="0" w:color="auto"/>
            <w:left w:val="none" w:sz="0" w:space="0" w:color="auto"/>
            <w:bottom w:val="none" w:sz="0" w:space="0" w:color="auto"/>
            <w:right w:val="none" w:sz="0" w:space="0" w:color="auto"/>
          </w:divBdr>
        </w:div>
        <w:div w:id="1702971931">
          <w:marLeft w:val="0"/>
          <w:marRight w:val="0"/>
          <w:marTop w:val="0"/>
          <w:marBottom w:val="0"/>
          <w:divBdr>
            <w:top w:val="none" w:sz="0" w:space="0" w:color="auto"/>
            <w:left w:val="none" w:sz="0" w:space="0" w:color="auto"/>
            <w:bottom w:val="none" w:sz="0" w:space="0" w:color="auto"/>
            <w:right w:val="none" w:sz="0" w:space="0" w:color="auto"/>
          </w:divBdr>
        </w:div>
        <w:div w:id="91166921">
          <w:marLeft w:val="0"/>
          <w:marRight w:val="0"/>
          <w:marTop w:val="0"/>
          <w:marBottom w:val="0"/>
          <w:divBdr>
            <w:top w:val="none" w:sz="0" w:space="0" w:color="auto"/>
            <w:left w:val="none" w:sz="0" w:space="0" w:color="auto"/>
            <w:bottom w:val="none" w:sz="0" w:space="0" w:color="auto"/>
            <w:right w:val="none" w:sz="0" w:space="0" w:color="auto"/>
          </w:divBdr>
        </w:div>
        <w:div w:id="1973172280">
          <w:marLeft w:val="0"/>
          <w:marRight w:val="0"/>
          <w:marTop w:val="0"/>
          <w:marBottom w:val="0"/>
          <w:divBdr>
            <w:top w:val="none" w:sz="0" w:space="0" w:color="auto"/>
            <w:left w:val="none" w:sz="0" w:space="0" w:color="auto"/>
            <w:bottom w:val="none" w:sz="0" w:space="0" w:color="auto"/>
            <w:right w:val="none" w:sz="0" w:space="0" w:color="auto"/>
          </w:divBdr>
        </w:div>
        <w:div w:id="1584800056">
          <w:marLeft w:val="0"/>
          <w:marRight w:val="0"/>
          <w:marTop w:val="0"/>
          <w:marBottom w:val="0"/>
          <w:divBdr>
            <w:top w:val="none" w:sz="0" w:space="0" w:color="auto"/>
            <w:left w:val="none" w:sz="0" w:space="0" w:color="auto"/>
            <w:bottom w:val="none" w:sz="0" w:space="0" w:color="auto"/>
            <w:right w:val="none" w:sz="0" w:space="0" w:color="auto"/>
          </w:divBdr>
        </w:div>
        <w:div w:id="1970626200">
          <w:marLeft w:val="0"/>
          <w:marRight w:val="0"/>
          <w:marTop w:val="0"/>
          <w:marBottom w:val="0"/>
          <w:divBdr>
            <w:top w:val="none" w:sz="0" w:space="0" w:color="auto"/>
            <w:left w:val="none" w:sz="0" w:space="0" w:color="auto"/>
            <w:bottom w:val="none" w:sz="0" w:space="0" w:color="auto"/>
            <w:right w:val="none" w:sz="0" w:space="0" w:color="auto"/>
          </w:divBdr>
        </w:div>
        <w:div w:id="54663890">
          <w:marLeft w:val="0"/>
          <w:marRight w:val="0"/>
          <w:marTop w:val="0"/>
          <w:marBottom w:val="0"/>
          <w:divBdr>
            <w:top w:val="none" w:sz="0" w:space="0" w:color="auto"/>
            <w:left w:val="none" w:sz="0" w:space="0" w:color="auto"/>
            <w:bottom w:val="none" w:sz="0" w:space="0" w:color="auto"/>
            <w:right w:val="none" w:sz="0" w:space="0" w:color="auto"/>
          </w:divBdr>
        </w:div>
        <w:div w:id="153452404">
          <w:marLeft w:val="0"/>
          <w:marRight w:val="0"/>
          <w:marTop w:val="0"/>
          <w:marBottom w:val="0"/>
          <w:divBdr>
            <w:top w:val="none" w:sz="0" w:space="0" w:color="auto"/>
            <w:left w:val="none" w:sz="0" w:space="0" w:color="auto"/>
            <w:bottom w:val="none" w:sz="0" w:space="0" w:color="auto"/>
            <w:right w:val="none" w:sz="0" w:space="0" w:color="auto"/>
          </w:divBdr>
        </w:div>
        <w:div w:id="981036901">
          <w:marLeft w:val="0"/>
          <w:marRight w:val="0"/>
          <w:marTop w:val="0"/>
          <w:marBottom w:val="0"/>
          <w:divBdr>
            <w:top w:val="none" w:sz="0" w:space="0" w:color="auto"/>
            <w:left w:val="none" w:sz="0" w:space="0" w:color="auto"/>
            <w:bottom w:val="none" w:sz="0" w:space="0" w:color="auto"/>
            <w:right w:val="none" w:sz="0" w:space="0" w:color="auto"/>
          </w:divBdr>
        </w:div>
        <w:div w:id="624696227">
          <w:marLeft w:val="0"/>
          <w:marRight w:val="0"/>
          <w:marTop w:val="0"/>
          <w:marBottom w:val="0"/>
          <w:divBdr>
            <w:top w:val="none" w:sz="0" w:space="0" w:color="auto"/>
            <w:left w:val="none" w:sz="0" w:space="0" w:color="auto"/>
            <w:bottom w:val="none" w:sz="0" w:space="0" w:color="auto"/>
            <w:right w:val="none" w:sz="0" w:space="0" w:color="auto"/>
          </w:divBdr>
        </w:div>
        <w:div w:id="1377855185">
          <w:marLeft w:val="0"/>
          <w:marRight w:val="0"/>
          <w:marTop w:val="0"/>
          <w:marBottom w:val="0"/>
          <w:divBdr>
            <w:top w:val="none" w:sz="0" w:space="0" w:color="auto"/>
            <w:left w:val="none" w:sz="0" w:space="0" w:color="auto"/>
            <w:bottom w:val="none" w:sz="0" w:space="0" w:color="auto"/>
            <w:right w:val="none" w:sz="0" w:space="0" w:color="auto"/>
          </w:divBdr>
        </w:div>
        <w:div w:id="2038584201">
          <w:marLeft w:val="0"/>
          <w:marRight w:val="0"/>
          <w:marTop w:val="0"/>
          <w:marBottom w:val="0"/>
          <w:divBdr>
            <w:top w:val="none" w:sz="0" w:space="0" w:color="auto"/>
            <w:left w:val="none" w:sz="0" w:space="0" w:color="auto"/>
            <w:bottom w:val="none" w:sz="0" w:space="0" w:color="auto"/>
            <w:right w:val="none" w:sz="0" w:space="0" w:color="auto"/>
          </w:divBdr>
        </w:div>
        <w:div w:id="1535196294">
          <w:marLeft w:val="0"/>
          <w:marRight w:val="0"/>
          <w:marTop w:val="0"/>
          <w:marBottom w:val="0"/>
          <w:divBdr>
            <w:top w:val="none" w:sz="0" w:space="0" w:color="auto"/>
            <w:left w:val="none" w:sz="0" w:space="0" w:color="auto"/>
            <w:bottom w:val="none" w:sz="0" w:space="0" w:color="auto"/>
            <w:right w:val="none" w:sz="0" w:space="0" w:color="auto"/>
          </w:divBdr>
        </w:div>
        <w:div w:id="2082366018">
          <w:marLeft w:val="0"/>
          <w:marRight w:val="0"/>
          <w:marTop w:val="0"/>
          <w:marBottom w:val="0"/>
          <w:divBdr>
            <w:top w:val="none" w:sz="0" w:space="0" w:color="auto"/>
            <w:left w:val="none" w:sz="0" w:space="0" w:color="auto"/>
            <w:bottom w:val="none" w:sz="0" w:space="0" w:color="auto"/>
            <w:right w:val="none" w:sz="0" w:space="0" w:color="auto"/>
          </w:divBdr>
        </w:div>
        <w:div w:id="758335020">
          <w:marLeft w:val="0"/>
          <w:marRight w:val="0"/>
          <w:marTop w:val="0"/>
          <w:marBottom w:val="0"/>
          <w:divBdr>
            <w:top w:val="none" w:sz="0" w:space="0" w:color="auto"/>
            <w:left w:val="none" w:sz="0" w:space="0" w:color="auto"/>
            <w:bottom w:val="none" w:sz="0" w:space="0" w:color="auto"/>
            <w:right w:val="none" w:sz="0" w:space="0" w:color="auto"/>
          </w:divBdr>
        </w:div>
        <w:div w:id="407314350">
          <w:marLeft w:val="0"/>
          <w:marRight w:val="0"/>
          <w:marTop w:val="0"/>
          <w:marBottom w:val="0"/>
          <w:divBdr>
            <w:top w:val="none" w:sz="0" w:space="0" w:color="auto"/>
            <w:left w:val="none" w:sz="0" w:space="0" w:color="auto"/>
            <w:bottom w:val="none" w:sz="0" w:space="0" w:color="auto"/>
            <w:right w:val="none" w:sz="0" w:space="0" w:color="auto"/>
          </w:divBdr>
        </w:div>
        <w:div w:id="1550804866">
          <w:marLeft w:val="0"/>
          <w:marRight w:val="0"/>
          <w:marTop w:val="0"/>
          <w:marBottom w:val="0"/>
          <w:divBdr>
            <w:top w:val="none" w:sz="0" w:space="0" w:color="auto"/>
            <w:left w:val="none" w:sz="0" w:space="0" w:color="auto"/>
            <w:bottom w:val="none" w:sz="0" w:space="0" w:color="auto"/>
            <w:right w:val="none" w:sz="0" w:space="0" w:color="auto"/>
          </w:divBdr>
        </w:div>
        <w:div w:id="391151410">
          <w:marLeft w:val="0"/>
          <w:marRight w:val="0"/>
          <w:marTop w:val="0"/>
          <w:marBottom w:val="0"/>
          <w:divBdr>
            <w:top w:val="none" w:sz="0" w:space="0" w:color="auto"/>
            <w:left w:val="none" w:sz="0" w:space="0" w:color="auto"/>
            <w:bottom w:val="none" w:sz="0" w:space="0" w:color="auto"/>
            <w:right w:val="none" w:sz="0" w:space="0" w:color="auto"/>
          </w:divBdr>
        </w:div>
        <w:div w:id="1158034016">
          <w:marLeft w:val="0"/>
          <w:marRight w:val="0"/>
          <w:marTop w:val="0"/>
          <w:marBottom w:val="0"/>
          <w:divBdr>
            <w:top w:val="none" w:sz="0" w:space="0" w:color="auto"/>
            <w:left w:val="none" w:sz="0" w:space="0" w:color="auto"/>
            <w:bottom w:val="none" w:sz="0" w:space="0" w:color="auto"/>
            <w:right w:val="none" w:sz="0" w:space="0" w:color="auto"/>
          </w:divBdr>
        </w:div>
        <w:div w:id="861281694">
          <w:marLeft w:val="0"/>
          <w:marRight w:val="0"/>
          <w:marTop w:val="0"/>
          <w:marBottom w:val="0"/>
          <w:divBdr>
            <w:top w:val="none" w:sz="0" w:space="0" w:color="auto"/>
            <w:left w:val="none" w:sz="0" w:space="0" w:color="auto"/>
            <w:bottom w:val="none" w:sz="0" w:space="0" w:color="auto"/>
            <w:right w:val="none" w:sz="0" w:space="0" w:color="auto"/>
          </w:divBdr>
        </w:div>
        <w:div w:id="891037137">
          <w:marLeft w:val="0"/>
          <w:marRight w:val="0"/>
          <w:marTop w:val="0"/>
          <w:marBottom w:val="0"/>
          <w:divBdr>
            <w:top w:val="none" w:sz="0" w:space="0" w:color="auto"/>
            <w:left w:val="none" w:sz="0" w:space="0" w:color="auto"/>
            <w:bottom w:val="none" w:sz="0" w:space="0" w:color="auto"/>
            <w:right w:val="none" w:sz="0" w:space="0" w:color="auto"/>
          </w:divBdr>
        </w:div>
        <w:div w:id="1430156875">
          <w:marLeft w:val="0"/>
          <w:marRight w:val="0"/>
          <w:marTop w:val="0"/>
          <w:marBottom w:val="0"/>
          <w:divBdr>
            <w:top w:val="none" w:sz="0" w:space="0" w:color="auto"/>
            <w:left w:val="none" w:sz="0" w:space="0" w:color="auto"/>
            <w:bottom w:val="none" w:sz="0" w:space="0" w:color="auto"/>
            <w:right w:val="none" w:sz="0" w:space="0" w:color="auto"/>
          </w:divBdr>
        </w:div>
        <w:div w:id="1339842810">
          <w:marLeft w:val="0"/>
          <w:marRight w:val="0"/>
          <w:marTop w:val="0"/>
          <w:marBottom w:val="0"/>
          <w:divBdr>
            <w:top w:val="none" w:sz="0" w:space="0" w:color="auto"/>
            <w:left w:val="none" w:sz="0" w:space="0" w:color="auto"/>
            <w:bottom w:val="none" w:sz="0" w:space="0" w:color="auto"/>
            <w:right w:val="none" w:sz="0" w:space="0" w:color="auto"/>
          </w:divBdr>
        </w:div>
        <w:div w:id="1980915731">
          <w:marLeft w:val="0"/>
          <w:marRight w:val="0"/>
          <w:marTop w:val="0"/>
          <w:marBottom w:val="0"/>
          <w:divBdr>
            <w:top w:val="none" w:sz="0" w:space="0" w:color="auto"/>
            <w:left w:val="none" w:sz="0" w:space="0" w:color="auto"/>
            <w:bottom w:val="none" w:sz="0" w:space="0" w:color="auto"/>
            <w:right w:val="none" w:sz="0" w:space="0" w:color="auto"/>
          </w:divBdr>
        </w:div>
        <w:div w:id="1525289205">
          <w:marLeft w:val="0"/>
          <w:marRight w:val="0"/>
          <w:marTop w:val="0"/>
          <w:marBottom w:val="0"/>
          <w:divBdr>
            <w:top w:val="none" w:sz="0" w:space="0" w:color="auto"/>
            <w:left w:val="none" w:sz="0" w:space="0" w:color="auto"/>
            <w:bottom w:val="none" w:sz="0" w:space="0" w:color="auto"/>
            <w:right w:val="none" w:sz="0" w:space="0" w:color="auto"/>
          </w:divBdr>
        </w:div>
        <w:div w:id="313484978">
          <w:marLeft w:val="0"/>
          <w:marRight w:val="0"/>
          <w:marTop w:val="0"/>
          <w:marBottom w:val="0"/>
          <w:divBdr>
            <w:top w:val="none" w:sz="0" w:space="0" w:color="auto"/>
            <w:left w:val="none" w:sz="0" w:space="0" w:color="auto"/>
            <w:bottom w:val="none" w:sz="0" w:space="0" w:color="auto"/>
            <w:right w:val="none" w:sz="0" w:space="0" w:color="auto"/>
          </w:divBdr>
        </w:div>
        <w:div w:id="1947231921">
          <w:marLeft w:val="0"/>
          <w:marRight w:val="0"/>
          <w:marTop w:val="0"/>
          <w:marBottom w:val="0"/>
          <w:divBdr>
            <w:top w:val="none" w:sz="0" w:space="0" w:color="auto"/>
            <w:left w:val="none" w:sz="0" w:space="0" w:color="auto"/>
            <w:bottom w:val="none" w:sz="0" w:space="0" w:color="auto"/>
            <w:right w:val="none" w:sz="0" w:space="0" w:color="auto"/>
          </w:divBdr>
        </w:div>
        <w:div w:id="725951058">
          <w:marLeft w:val="0"/>
          <w:marRight w:val="0"/>
          <w:marTop w:val="0"/>
          <w:marBottom w:val="0"/>
          <w:divBdr>
            <w:top w:val="none" w:sz="0" w:space="0" w:color="auto"/>
            <w:left w:val="none" w:sz="0" w:space="0" w:color="auto"/>
            <w:bottom w:val="none" w:sz="0" w:space="0" w:color="auto"/>
            <w:right w:val="none" w:sz="0" w:space="0" w:color="auto"/>
          </w:divBdr>
        </w:div>
        <w:div w:id="895968153">
          <w:marLeft w:val="0"/>
          <w:marRight w:val="0"/>
          <w:marTop w:val="0"/>
          <w:marBottom w:val="0"/>
          <w:divBdr>
            <w:top w:val="none" w:sz="0" w:space="0" w:color="auto"/>
            <w:left w:val="none" w:sz="0" w:space="0" w:color="auto"/>
            <w:bottom w:val="none" w:sz="0" w:space="0" w:color="auto"/>
            <w:right w:val="none" w:sz="0" w:space="0" w:color="auto"/>
          </w:divBdr>
        </w:div>
        <w:div w:id="336156878">
          <w:marLeft w:val="0"/>
          <w:marRight w:val="0"/>
          <w:marTop w:val="0"/>
          <w:marBottom w:val="0"/>
          <w:divBdr>
            <w:top w:val="none" w:sz="0" w:space="0" w:color="auto"/>
            <w:left w:val="none" w:sz="0" w:space="0" w:color="auto"/>
            <w:bottom w:val="none" w:sz="0" w:space="0" w:color="auto"/>
            <w:right w:val="none" w:sz="0" w:space="0" w:color="auto"/>
          </w:divBdr>
        </w:div>
        <w:div w:id="1928538952">
          <w:marLeft w:val="0"/>
          <w:marRight w:val="0"/>
          <w:marTop w:val="0"/>
          <w:marBottom w:val="0"/>
          <w:divBdr>
            <w:top w:val="none" w:sz="0" w:space="0" w:color="auto"/>
            <w:left w:val="none" w:sz="0" w:space="0" w:color="auto"/>
            <w:bottom w:val="none" w:sz="0" w:space="0" w:color="auto"/>
            <w:right w:val="none" w:sz="0" w:space="0" w:color="auto"/>
          </w:divBdr>
        </w:div>
        <w:div w:id="35082564">
          <w:marLeft w:val="0"/>
          <w:marRight w:val="0"/>
          <w:marTop w:val="0"/>
          <w:marBottom w:val="0"/>
          <w:divBdr>
            <w:top w:val="none" w:sz="0" w:space="0" w:color="auto"/>
            <w:left w:val="none" w:sz="0" w:space="0" w:color="auto"/>
            <w:bottom w:val="none" w:sz="0" w:space="0" w:color="auto"/>
            <w:right w:val="none" w:sz="0" w:space="0" w:color="auto"/>
          </w:divBdr>
        </w:div>
        <w:div w:id="893395612">
          <w:marLeft w:val="0"/>
          <w:marRight w:val="0"/>
          <w:marTop w:val="0"/>
          <w:marBottom w:val="0"/>
          <w:divBdr>
            <w:top w:val="none" w:sz="0" w:space="0" w:color="auto"/>
            <w:left w:val="none" w:sz="0" w:space="0" w:color="auto"/>
            <w:bottom w:val="none" w:sz="0" w:space="0" w:color="auto"/>
            <w:right w:val="none" w:sz="0" w:space="0" w:color="auto"/>
          </w:divBdr>
        </w:div>
        <w:div w:id="1304382976">
          <w:marLeft w:val="0"/>
          <w:marRight w:val="0"/>
          <w:marTop w:val="0"/>
          <w:marBottom w:val="0"/>
          <w:divBdr>
            <w:top w:val="none" w:sz="0" w:space="0" w:color="auto"/>
            <w:left w:val="none" w:sz="0" w:space="0" w:color="auto"/>
            <w:bottom w:val="none" w:sz="0" w:space="0" w:color="auto"/>
            <w:right w:val="none" w:sz="0" w:space="0" w:color="auto"/>
          </w:divBdr>
        </w:div>
        <w:div w:id="1752000495">
          <w:marLeft w:val="0"/>
          <w:marRight w:val="0"/>
          <w:marTop w:val="0"/>
          <w:marBottom w:val="0"/>
          <w:divBdr>
            <w:top w:val="none" w:sz="0" w:space="0" w:color="auto"/>
            <w:left w:val="none" w:sz="0" w:space="0" w:color="auto"/>
            <w:bottom w:val="none" w:sz="0" w:space="0" w:color="auto"/>
            <w:right w:val="none" w:sz="0" w:space="0" w:color="auto"/>
          </w:divBdr>
        </w:div>
        <w:div w:id="1527058520">
          <w:marLeft w:val="0"/>
          <w:marRight w:val="0"/>
          <w:marTop w:val="0"/>
          <w:marBottom w:val="0"/>
          <w:divBdr>
            <w:top w:val="none" w:sz="0" w:space="0" w:color="auto"/>
            <w:left w:val="none" w:sz="0" w:space="0" w:color="auto"/>
            <w:bottom w:val="none" w:sz="0" w:space="0" w:color="auto"/>
            <w:right w:val="none" w:sz="0" w:space="0" w:color="auto"/>
          </w:divBdr>
        </w:div>
        <w:div w:id="437650247">
          <w:marLeft w:val="0"/>
          <w:marRight w:val="0"/>
          <w:marTop w:val="0"/>
          <w:marBottom w:val="0"/>
          <w:divBdr>
            <w:top w:val="none" w:sz="0" w:space="0" w:color="auto"/>
            <w:left w:val="none" w:sz="0" w:space="0" w:color="auto"/>
            <w:bottom w:val="none" w:sz="0" w:space="0" w:color="auto"/>
            <w:right w:val="none" w:sz="0" w:space="0" w:color="auto"/>
          </w:divBdr>
        </w:div>
        <w:div w:id="1022315496">
          <w:marLeft w:val="0"/>
          <w:marRight w:val="0"/>
          <w:marTop w:val="0"/>
          <w:marBottom w:val="0"/>
          <w:divBdr>
            <w:top w:val="none" w:sz="0" w:space="0" w:color="auto"/>
            <w:left w:val="none" w:sz="0" w:space="0" w:color="auto"/>
            <w:bottom w:val="none" w:sz="0" w:space="0" w:color="auto"/>
            <w:right w:val="none" w:sz="0" w:space="0" w:color="auto"/>
          </w:divBdr>
        </w:div>
        <w:div w:id="675419274">
          <w:marLeft w:val="0"/>
          <w:marRight w:val="0"/>
          <w:marTop w:val="0"/>
          <w:marBottom w:val="0"/>
          <w:divBdr>
            <w:top w:val="none" w:sz="0" w:space="0" w:color="auto"/>
            <w:left w:val="none" w:sz="0" w:space="0" w:color="auto"/>
            <w:bottom w:val="none" w:sz="0" w:space="0" w:color="auto"/>
            <w:right w:val="none" w:sz="0" w:space="0" w:color="auto"/>
          </w:divBdr>
        </w:div>
        <w:div w:id="2047439289">
          <w:marLeft w:val="0"/>
          <w:marRight w:val="0"/>
          <w:marTop w:val="0"/>
          <w:marBottom w:val="0"/>
          <w:divBdr>
            <w:top w:val="none" w:sz="0" w:space="0" w:color="auto"/>
            <w:left w:val="none" w:sz="0" w:space="0" w:color="auto"/>
            <w:bottom w:val="none" w:sz="0" w:space="0" w:color="auto"/>
            <w:right w:val="none" w:sz="0" w:space="0" w:color="auto"/>
          </w:divBdr>
        </w:div>
        <w:div w:id="1946427353">
          <w:marLeft w:val="0"/>
          <w:marRight w:val="0"/>
          <w:marTop w:val="0"/>
          <w:marBottom w:val="0"/>
          <w:divBdr>
            <w:top w:val="none" w:sz="0" w:space="0" w:color="auto"/>
            <w:left w:val="none" w:sz="0" w:space="0" w:color="auto"/>
            <w:bottom w:val="none" w:sz="0" w:space="0" w:color="auto"/>
            <w:right w:val="none" w:sz="0" w:space="0" w:color="auto"/>
          </w:divBdr>
        </w:div>
        <w:div w:id="1609894754">
          <w:marLeft w:val="0"/>
          <w:marRight w:val="0"/>
          <w:marTop w:val="0"/>
          <w:marBottom w:val="0"/>
          <w:divBdr>
            <w:top w:val="none" w:sz="0" w:space="0" w:color="auto"/>
            <w:left w:val="none" w:sz="0" w:space="0" w:color="auto"/>
            <w:bottom w:val="none" w:sz="0" w:space="0" w:color="auto"/>
            <w:right w:val="none" w:sz="0" w:space="0" w:color="auto"/>
          </w:divBdr>
        </w:div>
        <w:div w:id="1035547202">
          <w:marLeft w:val="0"/>
          <w:marRight w:val="0"/>
          <w:marTop w:val="0"/>
          <w:marBottom w:val="0"/>
          <w:divBdr>
            <w:top w:val="none" w:sz="0" w:space="0" w:color="auto"/>
            <w:left w:val="none" w:sz="0" w:space="0" w:color="auto"/>
            <w:bottom w:val="none" w:sz="0" w:space="0" w:color="auto"/>
            <w:right w:val="none" w:sz="0" w:space="0" w:color="auto"/>
          </w:divBdr>
        </w:div>
        <w:div w:id="635568181">
          <w:marLeft w:val="0"/>
          <w:marRight w:val="0"/>
          <w:marTop w:val="0"/>
          <w:marBottom w:val="0"/>
          <w:divBdr>
            <w:top w:val="none" w:sz="0" w:space="0" w:color="auto"/>
            <w:left w:val="none" w:sz="0" w:space="0" w:color="auto"/>
            <w:bottom w:val="none" w:sz="0" w:space="0" w:color="auto"/>
            <w:right w:val="none" w:sz="0" w:space="0" w:color="auto"/>
          </w:divBdr>
        </w:div>
        <w:div w:id="1901330689">
          <w:marLeft w:val="0"/>
          <w:marRight w:val="0"/>
          <w:marTop w:val="0"/>
          <w:marBottom w:val="0"/>
          <w:divBdr>
            <w:top w:val="none" w:sz="0" w:space="0" w:color="auto"/>
            <w:left w:val="none" w:sz="0" w:space="0" w:color="auto"/>
            <w:bottom w:val="none" w:sz="0" w:space="0" w:color="auto"/>
            <w:right w:val="none" w:sz="0" w:space="0" w:color="auto"/>
          </w:divBdr>
        </w:div>
        <w:div w:id="90322481">
          <w:marLeft w:val="0"/>
          <w:marRight w:val="0"/>
          <w:marTop w:val="0"/>
          <w:marBottom w:val="0"/>
          <w:divBdr>
            <w:top w:val="none" w:sz="0" w:space="0" w:color="auto"/>
            <w:left w:val="none" w:sz="0" w:space="0" w:color="auto"/>
            <w:bottom w:val="none" w:sz="0" w:space="0" w:color="auto"/>
            <w:right w:val="none" w:sz="0" w:space="0" w:color="auto"/>
          </w:divBdr>
        </w:div>
        <w:div w:id="505872494">
          <w:marLeft w:val="0"/>
          <w:marRight w:val="0"/>
          <w:marTop w:val="0"/>
          <w:marBottom w:val="0"/>
          <w:divBdr>
            <w:top w:val="none" w:sz="0" w:space="0" w:color="auto"/>
            <w:left w:val="none" w:sz="0" w:space="0" w:color="auto"/>
            <w:bottom w:val="none" w:sz="0" w:space="0" w:color="auto"/>
            <w:right w:val="none" w:sz="0" w:space="0" w:color="auto"/>
          </w:divBdr>
        </w:div>
        <w:div w:id="159121617">
          <w:marLeft w:val="0"/>
          <w:marRight w:val="0"/>
          <w:marTop w:val="0"/>
          <w:marBottom w:val="0"/>
          <w:divBdr>
            <w:top w:val="none" w:sz="0" w:space="0" w:color="auto"/>
            <w:left w:val="none" w:sz="0" w:space="0" w:color="auto"/>
            <w:bottom w:val="none" w:sz="0" w:space="0" w:color="auto"/>
            <w:right w:val="none" w:sz="0" w:space="0" w:color="auto"/>
          </w:divBdr>
        </w:div>
        <w:div w:id="1800875683">
          <w:marLeft w:val="0"/>
          <w:marRight w:val="0"/>
          <w:marTop w:val="0"/>
          <w:marBottom w:val="0"/>
          <w:divBdr>
            <w:top w:val="none" w:sz="0" w:space="0" w:color="auto"/>
            <w:left w:val="none" w:sz="0" w:space="0" w:color="auto"/>
            <w:bottom w:val="none" w:sz="0" w:space="0" w:color="auto"/>
            <w:right w:val="none" w:sz="0" w:space="0" w:color="auto"/>
          </w:divBdr>
        </w:div>
        <w:div w:id="841049995">
          <w:marLeft w:val="0"/>
          <w:marRight w:val="0"/>
          <w:marTop w:val="0"/>
          <w:marBottom w:val="0"/>
          <w:divBdr>
            <w:top w:val="none" w:sz="0" w:space="0" w:color="auto"/>
            <w:left w:val="none" w:sz="0" w:space="0" w:color="auto"/>
            <w:bottom w:val="none" w:sz="0" w:space="0" w:color="auto"/>
            <w:right w:val="none" w:sz="0" w:space="0" w:color="auto"/>
          </w:divBdr>
        </w:div>
        <w:div w:id="1903977549">
          <w:marLeft w:val="0"/>
          <w:marRight w:val="0"/>
          <w:marTop w:val="0"/>
          <w:marBottom w:val="0"/>
          <w:divBdr>
            <w:top w:val="none" w:sz="0" w:space="0" w:color="auto"/>
            <w:left w:val="none" w:sz="0" w:space="0" w:color="auto"/>
            <w:bottom w:val="none" w:sz="0" w:space="0" w:color="auto"/>
            <w:right w:val="none" w:sz="0" w:space="0" w:color="auto"/>
          </w:divBdr>
        </w:div>
        <w:div w:id="2065519779">
          <w:marLeft w:val="0"/>
          <w:marRight w:val="0"/>
          <w:marTop w:val="0"/>
          <w:marBottom w:val="0"/>
          <w:divBdr>
            <w:top w:val="none" w:sz="0" w:space="0" w:color="auto"/>
            <w:left w:val="none" w:sz="0" w:space="0" w:color="auto"/>
            <w:bottom w:val="none" w:sz="0" w:space="0" w:color="auto"/>
            <w:right w:val="none" w:sz="0" w:space="0" w:color="auto"/>
          </w:divBdr>
        </w:div>
        <w:div w:id="175921016">
          <w:marLeft w:val="0"/>
          <w:marRight w:val="0"/>
          <w:marTop w:val="0"/>
          <w:marBottom w:val="0"/>
          <w:divBdr>
            <w:top w:val="none" w:sz="0" w:space="0" w:color="auto"/>
            <w:left w:val="none" w:sz="0" w:space="0" w:color="auto"/>
            <w:bottom w:val="none" w:sz="0" w:space="0" w:color="auto"/>
            <w:right w:val="none" w:sz="0" w:space="0" w:color="auto"/>
          </w:divBdr>
        </w:div>
        <w:div w:id="945573231">
          <w:marLeft w:val="0"/>
          <w:marRight w:val="0"/>
          <w:marTop w:val="0"/>
          <w:marBottom w:val="0"/>
          <w:divBdr>
            <w:top w:val="none" w:sz="0" w:space="0" w:color="auto"/>
            <w:left w:val="none" w:sz="0" w:space="0" w:color="auto"/>
            <w:bottom w:val="none" w:sz="0" w:space="0" w:color="auto"/>
            <w:right w:val="none" w:sz="0" w:space="0" w:color="auto"/>
          </w:divBdr>
        </w:div>
        <w:div w:id="1146357179">
          <w:marLeft w:val="0"/>
          <w:marRight w:val="0"/>
          <w:marTop w:val="0"/>
          <w:marBottom w:val="0"/>
          <w:divBdr>
            <w:top w:val="none" w:sz="0" w:space="0" w:color="auto"/>
            <w:left w:val="none" w:sz="0" w:space="0" w:color="auto"/>
            <w:bottom w:val="none" w:sz="0" w:space="0" w:color="auto"/>
            <w:right w:val="none" w:sz="0" w:space="0" w:color="auto"/>
          </w:divBdr>
        </w:div>
        <w:div w:id="1372072593">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1951358097">
          <w:marLeft w:val="0"/>
          <w:marRight w:val="0"/>
          <w:marTop w:val="0"/>
          <w:marBottom w:val="0"/>
          <w:divBdr>
            <w:top w:val="none" w:sz="0" w:space="0" w:color="auto"/>
            <w:left w:val="none" w:sz="0" w:space="0" w:color="auto"/>
            <w:bottom w:val="none" w:sz="0" w:space="0" w:color="auto"/>
            <w:right w:val="none" w:sz="0" w:space="0" w:color="auto"/>
          </w:divBdr>
        </w:div>
        <w:div w:id="1025406908">
          <w:marLeft w:val="0"/>
          <w:marRight w:val="0"/>
          <w:marTop w:val="0"/>
          <w:marBottom w:val="0"/>
          <w:divBdr>
            <w:top w:val="none" w:sz="0" w:space="0" w:color="auto"/>
            <w:left w:val="none" w:sz="0" w:space="0" w:color="auto"/>
            <w:bottom w:val="none" w:sz="0" w:space="0" w:color="auto"/>
            <w:right w:val="none" w:sz="0" w:space="0" w:color="auto"/>
          </w:divBdr>
        </w:div>
        <w:div w:id="143937731">
          <w:marLeft w:val="0"/>
          <w:marRight w:val="0"/>
          <w:marTop w:val="0"/>
          <w:marBottom w:val="0"/>
          <w:divBdr>
            <w:top w:val="none" w:sz="0" w:space="0" w:color="auto"/>
            <w:left w:val="none" w:sz="0" w:space="0" w:color="auto"/>
            <w:bottom w:val="none" w:sz="0" w:space="0" w:color="auto"/>
            <w:right w:val="none" w:sz="0" w:space="0" w:color="auto"/>
          </w:divBdr>
        </w:div>
        <w:div w:id="1813136702">
          <w:marLeft w:val="0"/>
          <w:marRight w:val="0"/>
          <w:marTop w:val="0"/>
          <w:marBottom w:val="0"/>
          <w:divBdr>
            <w:top w:val="none" w:sz="0" w:space="0" w:color="auto"/>
            <w:left w:val="none" w:sz="0" w:space="0" w:color="auto"/>
            <w:bottom w:val="none" w:sz="0" w:space="0" w:color="auto"/>
            <w:right w:val="none" w:sz="0" w:space="0" w:color="auto"/>
          </w:divBdr>
        </w:div>
        <w:div w:id="1873378040">
          <w:marLeft w:val="0"/>
          <w:marRight w:val="0"/>
          <w:marTop w:val="0"/>
          <w:marBottom w:val="0"/>
          <w:divBdr>
            <w:top w:val="none" w:sz="0" w:space="0" w:color="auto"/>
            <w:left w:val="none" w:sz="0" w:space="0" w:color="auto"/>
            <w:bottom w:val="none" w:sz="0" w:space="0" w:color="auto"/>
            <w:right w:val="none" w:sz="0" w:space="0" w:color="auto"/>
          </w:divBdr>
        </w:div>
        <w:div w:id="894464264">
          <w:marLeft w:val="0"/>
          <w:marRight w:val="0"/>
          <w:marTop w:val="0"/>
          <w:marBottom w:val="0"/>
          <w:divBdr>
            <w:top w:val="none" w:sz="0" w:space="0" w:color="auto"/>
            <w:left w:val="none" w:sz="0" w:space="0" w:color="auto"/>
            <w:bottom w:val="none" w:sz="0" w:space="0" w:color="auto"/>
            <w:right w:val="none" w:sz="0" w:space="0" w:color="auto"/>
          </w:divBdr>
        </w:div>
        <w:div w:id="1638755542">
          <w:marLeft w:val="0"/>
          <w:marRight w:val="0"/>
          <w:marTop w:val="0"/>
          <w:marBottom w:val="0"/>
          <w:divBdr>
            <w:top w:val="none" w:sz="0" w:space="0" w:color="auto"/>
            <w:left w:val="none" w:sz="0" w:space="0" w:color="auto"/>
            <w:bottom w:val="none" w:sz="0" w:space="0" w:color="auto"/>
            <w:right w:val="none" w:sz="0" w:space="0" w:color="auto"/>
          </w:divBdr>
        </w:div>
        <w:div w:id="79836622">
          <w:marLeft w:val="0"/>
          <w:marRight w:val="0"/>
          <w:marTop w:val="0"/>
          <w:marBottom w:val="0"/>
          <w:divBdr>
            <w:top w:val="none" w:sz="0" w:space="0" w:color="auto"/>
            <w:left w:val="none" w:sz="0" w:space="0" w:color="auto"/>
            <w:bottom w:val="none" w:sz="0" w:space="0" w:color="auto"/>
            <w:right w:val="none" w:sz="0" w:space="0" w:color="auto"/>
          </w:divBdr>
        </w:div>
        <w:div w:id="778840031">
          <w:marLeft w:val="0"/>
          <w:marRight w:val="0"/>
          <w:marTop w:val="0"/>
          <w:marBottom w:val="0"/>
          <w:divBdr>
            <w:top w:val="none" w:sz="0" w:space="0" w:color="auto"/>
            <w:left w:val="none" w:sz="0" w:space="0" w:color="auto"/>
            <w:bottom w:val="none" w:sz="0" w:space="0" w:color="auto"/>
            <w:right w:val="none" w:sz="0" w:space="0" w:color="auto"/>
          </w:divBdr>
        </w:div>
        <w:div w:id="570844890">
          <w:marLeft w:val="0"/>
          <w:marRight w:val="0"/>
          <w:marTop w:val="0"/>
          <w:marBottom w:val="0"/>
          <w:divBdr>
            <w:top w:val="none" w:sz="0" w:space="0" w:color="auto"/>
            <w:left w:val="none" w:sz="0" w:space="0" w:color="auto"/>
            <w:bottom w:val="none" w:sz="0" w:space="0" w:color="auto"/>
            <w:right w:val="none" w:sz="0" w:space="0" w:color="auto"/>
          </w:divBdr>
        </w:div>
        <w:div w:id="1443643417">
          <w:marLeft w:val="0"/>
          <w:marRight w:val="0"/>
          <w:marTop w:val="0"/>
          <w:marBottom w:val="0"/>
          <w:divBdr>
            <w:top w:val="none" w:sz="0" w:space="0" w:color="auto"/>
            <w:left w:val="none" w:sz="0" w:space="0" w:color="auto"/>
            <w:bottom w:val="none" w:sz="0" w:space="0" w:color="auto"/>
            <w:right w:val="none" w:sz="0" w:space="0" w:color="auto"/>
          </w:divBdr>
        </w:div>
      </w:divsChild>
    </w:div>
    <w:div w:id="963661271">
      <w:bodyDiv w:val="1"/>
      <w:marLeft w:val="0"/>
      <w:marRight w:val="0"/>
      <w:marTop w:val="0"/>
      <w:marBottom w:val="0"/>
      <w:divBdr>
        <w:top w:val="none" w:sz="0" w:space="0" w:color="auto"/>
        <w:left w:val="none" w:sz="0" w:space="0" w:color="auto"/>
        <w:bottom w:val="none" w:sz="0" w:space="0" w:color="auto"/>
        <w:right w:val="none" w:sz="0" w:space="0" w:color="auto"/>
      </w:divBdr>
    </w:div>
    <w:div w:id="1277911933">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Clarke</dc:creator>
  <cp:lastModifiedBy>Administrator</cp:lastModifiedBy>
  <cp:revision>2</cp:revision>
  <cp:lastPrinted>2015-09-24T09:00:00Z</cp:lastPrinted>
  <dcterms:created xsi:type="dcterms:W3CDTF">2016-09-30T13:30:00Z</dcterms:created>
  <dcterms:modified xsi:type="dcterms:W3CDTF">2016-09-30T13:30:00Z</dcterms:modified>
</cp:coreProperties>
</file>